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A" w:rsidRDefault="00FF317A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jc w:val="right"/>
      </w:pPr>
      <w:r>
        <w:t>Утвержден и введен в действие</w:t>
      </w:r>
    </w:p>
    <w:p w:rsidR="00FF317A" w:rsidRDefault="00FF317A">
      <w:pPr>
        <w:pStyle w:val="ConsPlusNormal"/>
        <w:jc w:val="right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Госстроя СССР</w:t>
      </w:r>
    </w:p>
    <w:p w:rsidR="00FF317A" w:rsidRDefault="00FF317A">
      <w:pPr>
        <w:pStyle w:val="ConsPlusNormal"/>
        <w:jc w:val="right"/>
      </w:pPr>
      <w:r>
        <w:t>от 28 ноября 1988 г. N 237</w:t>
      </w:r>
    </w:p>
    <w:p w:rsidR="00FF317A" w:rsidRDefault="00FF317A">
      <w:pPr>
        <w:pStyle w:val="ConsPlusNormal"/>
        <w:jc w:val="center"/>
      </w:pPr>
    </w:p>
    <w:p w:rsidR="00FF317A" w:rsidRDefault="00FF317A">
      <w:pPr>
        <w:pStyle w:val="ConsPlusTitle"/>
        <w:jc w:val="center"/>
      </w:pPr>
      <w:r>
        <w:t>ГОСУДАРСТВЕННЫЙ СТАНДАРТ СОЮЗА ССР</w:t>
      </w:r>
    </w:p>
    <w:p w:rsidR="00FF317A" w:rsidRDefault="00FF317A">
      <w:pPr>
        <w:pStyle w:val="ConsPlusTitle"/>
        <w:jc w:val="center"/>
      </w:pPr>
    </w:p>
    <w:p w:rsidR="00FF317A" w:rsidRDefault="00FF317A">
      <w:pPr>
        <w:pStyle w:val="ConsPlusTitle"/>
        <w:jc w:val="center"/>
      </w:pPr>
      <w:r>
        <w:t>СРЕДСТВА ПОДМАЩИВАНИЯ</w:t>
      </w:r>
    </w:p>
    <w:p w:rsidR="00FF317A" w:rsidRDefault="00FF317A">
      <w:pPr>
        <w:pStyle w:val="ConsPlusTitle"/>
        <w:jc w:val="center"/>
      </w:pPr>
    </w:p>
    <w:p w:rsidR="00FF317A" w:rsidRPr="00FF317A" w:rsidRDefault="00FF317A">
      <w:pPr>
        <w:pStyle w:val="ConsPlusTitle"/>
        <w:jc w:val="center"/>
        <w:rPr>
          <w:lang w:val="en-US"/>
        </w:rPr>
      </w:pPr>
      <w:r>
        <w:t>ОБЩИЕ</w:t>
      </w:r>
      <w:r w:rsidRPr="00FF317A">
        <w:rPr>
          <w:lang w:val="en-US"/>
        </w:rPr>
        <w:t xml:space="preserve"> </w:t>
      </w:r>
      <w:r>
        <w:t>ТЕХНИЧЕСКИЕ</w:t>
      </w:r>
      <w:r w:rsidRPr="00FF317A">
        <w:rPr>
          <w:lang w:val="en-US"/>
        </w:rPr>
        <w:t xml:space="preserve"> </w:t>
      </w:r>
      <w:r>
        <w:t>УСЛОВИЯ</w:t>
      </w:r>
    </w:p>
    <w:p w:rsidR="00FF317A" w:rsidRPr="00FF317A" w:rsidRDefault="00FF317A">
      <w:pPr>
        <w:pStyle w:val="ConsPlusTitle"/>
        <w:jc w:val="center"/>
        <w:rPr>
          <w:lang w:val="en-US"/>
        </w:rPr>
      </w:pPr>
    </w:p>
    <w:p w:rsidR="00FF317A" w:rsidRPr="00FF317A" w:rsidRDefault="00FF317A">
      <w:pPr>
        <w:pStyle w:val="ConsPlusTitle"/>
        <w:jc w:val="center"/>
        <w:rPr>
          <w:lang w:val="en-US"/>
        </w:rPr>
      </w:pPr>
      <w:r w:rsidRPr="00FF317A">
        <w:rPr>
          <w:lang w:val="en-US"/>
        </w:rPr>
        <w:t>Different types of scaffolding. General specifications</w:t>
      </w:r>
    </w:p>
    <w:p w:rsidR="00FF317A" w:rsidRPr="00FF317A" w:rsidRDefault="00FF317A">
      <w:pPr>
        <w:pStyle w:val="ConsPlusTitle"/>
        <w:jc w:val="center"/>
        <w:rPr>
          <w:lang w:val="en-US"/>
        </w:rPr>
      </w:pPr>
    </w:p>
    <w:p w:rsidR="00FF317A" w:rsidRPr="00FF317A" w:rsidRDefault="00FF317A">
      <w:pPr>
        <w:pStyle w:val="ConsPlusTitle"/>
        <w:jc w:val="center"/>
        <w:rPr>
          <w:lang w:val="en-US"/>
        </w:rPr>
      </w:pPr>
      <w:r>
        <w:t>ГОСТ</w:t>
      </w:r>
      <w:r w:rsidRPr="00FF317A">
        <w:rPr>
          <w:lang w:val="en-US"/>
        </w:rPr>
        <w:t xml:space="preserve"> 24258-88</w:t>
      </w:r>
    </w:p>
    <w:p w:rsidR="00FF317A" w:rsidRPr="00FF317A" w:rsidRDefault="00FF317A">
      <w:pPr>
        <w:pStyle w:val="ConsPlusNormal"/>
        <w:ind w:firstLine="540"/>
        <w:jc w:val="both"/>
        <w:rPr>
          <w:lang w:val="en-US"/>
        </w:rPr>
      </w:pPr>
    </w:p>
    <w:p w:rsidR="00FF317A" w:rsidRPr="00FF317A" w:rsidRDefault="00FF317A">
      <w:pPr>
        <w:pStyle w:val="ConsPlusNormal"/>
        <w:jc w:val="right"/>
        <w:rPr>
          <w:lang w:val="en-US"/>
        </w:rPr>
      </w:pPr>
      <w:r>
        <w:t>Группа</w:t>
      </w:r>
      <w:r w:rsidRPr="00FF317A">
        <w:rPr>
          <w:lang w:val="en-US"/>
        </w:rPr>
        <w:t xml:space="preserve"> </w:t>
      </w:r>
      <w:r>
        <w:t>Ж</w:t>
      </w:r>
      <w:r w:rsidRPr="00FF317A">
        <w:rPr>
          <w:lang w:val="en-US"/>
        </w:rPr>
        <w:t>30</w:t>
      </w:r>
    </w:p>
    <w:p w:rsidR="00FF317A" w:rsidRPr="00FF317A" w:rsidRDefault="00FF317A">
      <w:pPr>
        <w:pStyle w:val="ConsPlusNormal"/>
        <w:jc w:val="right"/>
        <w:rPr>
          <w:lang w:val="en-US"/>
        </w:rPr>
      </w:pPr>
    </w:p>
    <w:p w:rsidR="00FF317A" w:rsidRPr="00FF317A" w:rsidRDefault="00FF317A">
      <w:pPr>
        <w:pStyle w:val="ConsPlusNormal"/>
        <w:jc w:val="right"/>
        <w:rPr>
          <w:lang w:val="en-US"/>
        </w:rPr>
      </w:pPr>
      <w:r>
        <w:t>ОКП</w:t>
      </w:r>
      <w:r w:rsidRPr="00FF317A">
        <w:rPr>
          <w:lang w:val="en-US"/>
        </w:rPr>
        <w:t xml:space="preserve"> 52 2540</w:t>
      </w:r>
    </w:p>
    <w:p w:rsidR="00FF317A" w:rsidRPr="00FF317A" w:rsidRDefault="00FF317A">
      <w:pPr>
        <w:pStyle w:val="ConsPlusNormal"/>
        <w:jc w:val="right"/>
        <w:rPr>
          <w:lang w:val="en-US"/>
        </w:rPr>
      </w:pPr>
    </w:p>
    <w:p w:rsidR="00FF317A" w:rsidRDefault="00FF317A">
      <w:pPr>
        <w:pStyle w:val="ConsPlusNormal"/>
        <w:jc w:val="right"/>
      </w:pPr>
      <w:r>
        <w:t>Дата введения</w:t>
      </w:r>
    </w:p>
    <w:p w:rsidR="00FF317A" w:rsidRDefault="00FF317A">
      <w:pPr>
        <w:pStyle w:val="ConsPlusNormal"/>
        <w:jc w:val="right"/>
      </w:pPr>
      <w:r>
        <w:t>1 июля 1989 года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jc w:val="center"/>
      </w:pPr>
      <w:r>
        <w:t>ИНФОРМАЦИОННЫЕ ДАННЫЕ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ind w:firstLine="540"/>
        <w:jc w:val="both"/>
      </w:pPr>
      <w:r>
        <w:t>1. 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СССР.</w:t>
      </w:r>
    </w:p>
    <w:p w:rsidR="00FF317A" w:rsidRDefault="00FF317A">
      <w:pPr>
        <w:pStyle w:val="ConsPlusNormal"/>
        <w:ind w:firstLine="540"/>
        <w:jc w:val="both"/>
      </w:pPr>
      <w:r>
        <w:t>Внесен Государственным строительным комитетом СССР.</w:t>
      </w:r>
    </w:p>
    <w:p w:rsidR="00FF317A" w:rsidRDefault="00FF317A">
      <w:pPr>
        <w:pStyle w:val="ConsPlusNormal"/>
        <w:ind w:firstLine="540"/>
        <w:jc w:val="both"/>
      </w:pPr>
      <w:r>
        <w:t>Исполнители: А.А. Гершбейн, Б.Я. Мойжес, В.П. Сухачев, В.В. Баконин.</w:t>
      </w:r>
    </w:p>
    <w:p w:rsidR="00FF317A" w:rsidRDefault="00FF317A">
      <w:pPr>
        <w:pStyle w:val="ConsPlusNormal"/>
        <w:ind w:firstLine="540"/>
        <w:jc w:val="both"/>
      </w:pPr>
      <w:r>
        <w:t xml:space="preserve">2. Утвержден и введен в действие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Государственного строительного комитета СССР от 28.11.1988 N 237.</w:t>
      </w:r>
    </w:p>
    <w:p w:rsidR="00FF317A" w:rsidRDefault="00FF317A">
      <w:pPr>
        <w:pStyle w:val="ConsPlusNormal"/>
        <w:ind w:firstLine="540"/>
        <w:jc w:val="both"/>
      </w:pPr>
      <w:r>
        <w:t>3. Взамен ГОСТ 24258-80.</w:t>
      </w:r>
    </w:p>
    <w:p w:rsidR="00FF317A" w:rsidRDefault="00FF317A">
      <w:pPr>
        <w:pStyle w:val="ConsPlusNormal"/>
        <w:ind w:firstLine="540"/>
        <w:jc w:val="both"/>
      </w:pPr>
      <w:r>
        <w:t>4. Ссылочные нормативно-технические документы (НТД)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Обозначение НТД, на который дана   │  Номер пункта, подпункта</w:t>
      </w:r>
    </w:p>
    <w:p w:rsidR="00FF317A" w:rsidRDefault="00FF317A">
      <w:pPr>
        <w:pStyle w:val="ConsPlusCell"/>
        <w:jc w:val="both"/>
      </w:pPr>
      <w:r>
        <w:t xml:space="preserve">                ссылка    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─────────────────────────────────────┼───────────────────────────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Взамен  ГОСТ  8.002-86  на  территории  Российской   Федерации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с 1 декабря 2001  года  введен  в  действие  </w:t>
      </w:r>
      <w:hyperlink r:id="rId9" w:history="1">
        <w:r>
          <w:rPr>
            <w:color w:val="0000FF"/>
          </w:rPr>
          <w:t>ПР 50.2.002-94</w:t>
        </w:r>
      </w:hyperlink>
      <w:r>
        <w:rPr>
          <w:color w:val="0A2666"/>
        </w:rPr>
        <w:t xml:space="preserve">  "ГСИ.</w:t>
      </w:r>
    </w:p>
    <w:p w:rsidR="00FF317A" w:rsidRDefault="00FF317A">
      <w:pPr>
        <w:pStyle w:val="ConsPlusCell"/>
        <w:jc w:val="both"/>
      </w:pPr>
      <w:r>
        <w:rPr>
          <w:color w:val="0A2666"/>
        </w:rPr>
        <w:t>Порядок осуществления  государственного  метрологического  надзора</w:t>
      </w:r>
    </w:p>
    <w:p w:rsidR="00FF317A" w:rsidRDefault="00FF317A">
      <w:pPr>
        <w:pStyle w:val="ConsPlusCell"/>
        <w:jc w:val="both"/>
      </w:pPr>
      <w:r>
        <w:rPr>
          <w:color w:val="0A2666"/>
        </w:rPr>
        <w:t>за  выпуском,   состоянием  и   применением   средств   измерений,</w:t>
      </w:r>
    </w:p>
    <w:p w:rsidR="00FF317A" w:rsidRDefault="00FF317A">
      <w:pPr>
        <w:pStyle w:val="ConsPlusCell"/>
        <w:jc w:val="both"/>
      </w:pPr>
      <w:r>
        <w:rPr>
          <w:color w:val="0A2666"/>
        </w:rPr>
        <w:t>аттестованными   методиками   выполнения  измерений,  эталонами  и</w:t>
      </w:r>
    </w:p>
    <w:p w:rsidR="00FF317A" w:rsidRDefault="00FF317A">
      <w:pPr>
        <w:pStyle w:val="ConsPlusCell"/>
        <w:jc w:val="both"/>
      </w:pPr>
      <w:r>
        <w:rPr>
          <w:color w:val="0A2666"/>
        </w:rPr>
        <w:t>соблюдением   метрологических   правил  и   норм"   (</w:t>
      </w:r>
      <w:hyperlink r:id="rId10" w:history="1">
        <w:r>
          <w:rPr>
            <w:color w:val="0000FF"/>
          </w:rPr>
          <w:t>Постановление</w:t>
        </w:r>
      </w:hyperlink>
    </w:p>
    <w:p w:rsidR="00FF317A" w:rsidRDefault="00FF317A">
      <w:pPr>
        <w:pStyle w:val="ConsPlusCell"/>
        <w:jc w:val="both"/>
      </w:pPr>
      <w:r>
        <w:rPr>
          <w:color w:val="0A2666"/>
        </w:rPr>
        <w:t>Госстандарта России от 27.09.2001 N 394-ст).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8.002-86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jc w:val="both"/>
      </w:pPr>
      <w:hyperlink r:id="rId11" w:history="1">
        <w:r>
          <w:rPr>
            <w:color w:val="0000FF"/>
          </w:rPr>
          <w:t>ГОСТ 8.513-84</w:t>
        </w:r>
      </w:hyperlink>
      <w:r>
        <w:t xml:space="preserve">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jc w:val="both"/>
      </w:pPr>
      <w:hyperlink r:id="rId12" w:history="1">
        <w:r>
          <w:rPr>
            <w:color w:val="0000FF"/>
          </w:rPr>
          <w:t>ГОСТ 9.032-74</w:t>
        </w:r>
      </w:hyperlink>
      <w:r>
        <w:t xml:space="preserve">                        │</w:t>
      </w:r>
      <w:hyperlink w:anchor="P250" w:history="1">
        <w:r>
          <w:rPr>
            <w:color w:val="0000FF"/>
          </w:rPr>
          <w:t>4.5</w:t>
        </w:r>
      </w:hyperlink>
    </w:p>
    <w:p w:rsidR="00FF317A" w:rsidRDefault="00FF317A">
      <w:pPr>
        <w:pStyle w:val="ConsPlusCell"/>
        <w:jc w:val="both"/>
      </w:pPr>
      <w:hyperlink r:id="rId13" w:history="1">
        <w:r>
          <w:rPr>
            <w:color w:val="0000FF"/>
          </w:rPr>
          <w:t>ГОСТ 9.402-80</w:t>
        </w:r>
      </w:hyperlink>
      <w:r>
        <w:t xml:space="preserve">                        │</w:t>
      </w:r>
      <w:hyperlink w:anchor="P201" w:history="1">
        <w:r>
          <w:rPr>
            <w:color w:val="0000FF"/>
          </w:rPr>
          <w:t>2.2.14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Взамен  ГОСТ 12.4.026-76  Постановлением  Госстандарта  РФ  от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>19.09.2001  N  387-ст  с  1  января  2003  года  введен в действие</w:t>
      </w:r>
    </w:p>
    <w:p w:rsidR="00FF317A" w:rsidRDefault="00FF317A">
      <w:pPr>
        <w:pStyle w:val="ConsPlusCell"/>
        <w:jc w:val="both"/>
      </w:pPr>
      <w:hyperlink r:id="rId14" w:history="1">
        <w:r>
          <w:rPr>
            <w:color w:val="0000FF"/>
          </w:rPr>
          <w:t>ГОСТ Р 12.4.026-2001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12.4.026-76                     │</w:t>
      </w:r>
      <w:hyperlink w:anchor="P212" w:history="1">
        <w:r>
          <w:rPr>
            <w:color w:val="0000FF"/>
          </w:rPr>
          <w:t>2.2.21</w:t>
        </w:r>
      </w:hyperlink>
    </w:p>
    <w:p w:rsidR="00FF317A" w:rsidRDefault="00FF317A">
      <w:pPr>
        <w:pStyle w:val="ConsPlusCell"/>
        <w:jc w:val="both"/>
      </w:pPr>
      <w:hyperlink r:id="rId15" w:history="1">
        <w:r>
          <w:rPr>
            <w:color w:val="0000FF"/>
          </w:rPr>
          <w:t>ГОСТ 15.001-88</w:t>
        </w:r>
      </w:hyperlink>
      <w:r>
        <w:t xml:space="preserve">                       │</w:t>
      </w:r>
      <w:hyperlink w:anchor="P168" w:history="1">
        <w:r>
          <w:rPr>
            <w:color w:val="0000FF"/>
          </w:rPr>
          <w:t>2.1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lastRenderedPageBreak/>
        <w:t xml:space="preserve">    Взамен  ГОСТ  166-80  Постановлением  Госстандарта   СССР   от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>30.01.1989   N  3253  с  1 января  1991  года  введен  в  действие</w:t>
      </w:r>
    </w:p>
    <w:p w:rsidR="00FF317A" w:rsidRDefault="00FF317A">
      <w:pPr>
        <w:pStyle w:val="ConsPlusCell"/>
        <w:jc w:val="both"/>
      </w:pPr>
      <w:hyperlink r:id="rId16" w:history="1">
        <w:r>
          <w:rPr>
            <w:color w:val="0000FF"/>
          </w:rPr>
          <w:t>ГОСТ 166-89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166-80  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jc w:val="both"/>
      </w:pPr>
      <w:hyperlink r:id="rId17" w:history="1">
        <w:r>
          <w:rPr>
            <w:color w:val="0000FF"/>
          </w:rPr>
          <w:t>ГОСТ 427-75</w:t>
        </w:r>
      </w:hyperlink>
      <w:r>
        <w:t xml:space="preserve">  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jc w:val="both"/>
      </w:pPr>
      <w:hyperlink r:id="rId18" w:history="1">
        <w:r>
          <w:rPr>
            <w:color w:val="0000FF"/>
          </w:rPr>
          <w:t>ГОСТ 3242-79</w:t>
        </w:r>
      </w:hyperlink>
      <w:r>
        <w:t xml:space="preserve">                         │</w:t>
      </w:r>
      <w:hyperlink w:anchor="P249" w:history="1">
        <w:r>
          <w:rPr>
            <w:color w:val="0000FF"/>
          </w:rPr>
          <w:t>4.4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Взамен   ГОСТ   5378-66  Постановлением   Госстандарта СССР от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>17.10.1988  N  3447  с  1   января  1990   года  введен в действие</w:t>
      </w:r>
    </w:p>
    <w:p w:rsidR="00FF317A" w:rsidRDefault="00FF317A">
      <w:pPr>
        <w:pStyle w:val="ConsPlusCell"/>
        <w:jc w:val="both"/>
      </w:pPr>
      <w:hyperlink r:id="rId19" w:history="1">
        <w:r>
          <w:rPr>
            <w:color w:val="0000FF"/>
          </w:rPr>
          <w:t>ГОСТ 5378-88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5378-66 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Постановлением   Госстандарта   РФ  от  27.07.1999  N   220-ст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с  1  июля  2000  года  введен  в  действие </w:t>
      </w:r>
      <w:hyperlink r:id="rId20" w:history="1">
        <w:r>
          <w:rPr>
            <w:color w:val="0000FF"/>
          </w:rPr>
          <w:t>ГОСТ 7502-98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7502-80                         │</w:t>
      </w:r>
      <w:hyperlink w:anchor="P243" w:history="1">
        <w:r>
          <w:rPr>
            <w:color w:val="0000FF"/>
          </w:rPr>
          <w:t>4.2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Взамен   ГОСТ   7505-74  Постановлением  Госстандарта  СССР от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>21.09.1989   N  2815  с   1   июля   1990   года введен в действие</w:t>
      </w:r>
    </w:p>
    <w:p w:rsidR="00FF317A" w:rsidRDefault="00FF317A">
      <w:pPr>
        <w:pStyle w:val="ConsPlusCell"/>
        <w:jc w:val="both"/>
      </w:pPr>
      <w:hyperlink r:id="rId21" w:history="1">
        <w:r>
          <w:rPr>
            <w:color w:val="0000FF"/>
          </w:rPr>
          <w:t>ГОСТ 7505-89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7505-74                         │</w:t>
      </w:r>
      <w:hyperlink w:anchor="P191" w:history="1">
        <w:r>
          <w:rPr>
            <w:color w:val="0000FF"/>
          </w:rPr>
          <w:t>2.2.6</w:t>
        </w:r>
      </w:hyperlink>
    </w:p>
    <w:p w:rsidR="00FF317A" w:rsidRDefault="00FF317A">
      <w:pPr>
        <w:pStyle w:val="ConsPlusCell"/>
        <w:jc w:val="both"/>
      </w:pPr>
      <w:hyperlink r:id="rId22" w:history="1">
        <w:r>
          <w:rPr>
            <w:color w:val="0000FF"/>
          </w:rPr>
          <w:t>ГОСТ 7829-70</w:t>
        </w:r>
      </w:hyperlink>
      <w:r>
        <w:t xml:space="preserve">                         │</w:t>
      </w:r>
      <w:hyperlink w:anchor="P191" w:history="1">
        <w:r>
          <w:rPr>
            <w:color w:val="0000FF"/>
          </w:rPr>
          <w:t>2.2.6</w:t>
        </w:r>
      </w:hyperlink>
    </w:p>
    <w:p w:rsidR="00FF317A" w:rsidRDefault="00FF317A">
      <w:pPr>
        <w:pStyle w:val="ConsPlusCell"/>
        <w:jc w:val="both"/>
      </w:pPr>
      <w:hyperlink r:id="rId23" w:history="1">
        <w:r>
          <w:rPr>
            <w:color w:val="0000FF"/>
          </w:rPr>
          <w:t>ГОСТ 13837-79</w:t>
        </w:r>
      </w:hyperlink>
      <w:r>
        <w:t xml:space="preserve">                        │</w:t>
      </w:r>
      <w:hyperlink w:anchor="P248" w:history="1">
        <w:r>
          <w:rPr>
            <w:color w:val="0000FF"/>
          </w:rPr>
          <w:t>4.3</w:t>
        </w:r>
      </w:hyperlink>
    </w:p>
    <w:p w:rsidR="00FF317A" w:rsidRDefault="00FF317A">
      <w:pPr>
        <w:pStyle w:val="ConsPlusCell"/>
        <w:jc w:val="both"/>
      </w:pPr>
      <w:hyperlink r:id="rId24" w:history="1">
        <w:r>
          <w:rPr>
            <w:color w:val="0000FF"/>
          </w:rPr>
          <w:t>ГОСТ 15150-69</w:t>
        </w:r>
      </w:hyperlink>
      <w:r>
        <w:t xml:space="preserve">                        │</w:t>
      </w:r>
      <w:hyperlink w:anchor="P170" w:history="1">
        <w:r>
          <w:rPr>
            <w:color w:val="0000FF"/>
          </w:rPr>
          <w:t>2.2.1</w:t>
        </w:r>
      </w:hyperlink>
      <w:r>
        <w:t xml:space="preserve">, </w:t>
      </w:r>
      <w:hyperlink w:anchor="P255" w:history="1">
        <w:r>
          <w:rPr>
            <w:color w:val="0000FF"/>
          </w:rPr>
          <w:t>5.2</w:t>
        </w:r>
      </w:hyperlink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F317A" w:rsidRDefault="00FF317A">
      <w:pPr>
        <w:pStyle w:val="ConsPlusCell"/>
        <w:jc w:val="both"/>
      </w:pPr>
      <w:r>
        <w:rPr>
          <w:color w:val="0A2666"/>
        </w:rPr>
        <w:t xml:space="preserve">    Взамен  ГОСТ   23676-79   Постановлением  Госстандарта  РФ  от</w:t>
      </w:r>
    </w:p>
    <w:p w:rsidR="00FF317A" w:rsidRDefault="00FF317A">
      <w:pPr>
        <w:pStyle w:val="ConsPlusCell"/>
        <w:jc w:val="both"/>
      </w:pPr>
      <w:r>
        <w:rPr>
          <w:color w:val="0A2666"/>
        </w:rPr>
        <w:t>27.03.1992  N  294  введен  в  действие  с  1   января   1994 года</w:t>
      </w:r>
    </w:p>
    <w:p w:rsidR="00FF317A" w:rsidRDefault="00FF317A">
      <w:pPr>
        <w:pStyle w:val="ConsPlusCell"/>
        <w:jc w:val="both"/>
      </w:pPr>
      <w:hyperlink r:id="rId25" w:history="1">
        <w:r>
          <w:rPr>
            <w:color w:val="0000FF"/>
          </w:rPr>
          <w:t>ГОСТ 29329-92</w:t>
        </w:r>
      </w:hyperlink>
      <w:r>
        <w:rPr>
          <w:color w:val="0A2666"/>
        </w:rPr>
        <w:t>.</w:t>
      </w:r>
    </w:p>
    <w:p w:rsidR="00FF317A" w:rsidRDefault="00FF31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Cell"/>
        <w:jc w:val="both"/>
      </w:pPr>
      <w:r>
        <w:t>ГОСТ 23676-79                        │</w:t>
      </w:r>
      <w:hyperlink w:anchor="P248" w:history="1">
        <w:r>
          <w:rPr>
            <w:color w:val="0000FF"/>
          </w:rPr>
          <w:t>4.3</w:t>
        </w:r>
      </w:hyperlink>
    </w:p>
    <w:p w:rsidR="00FF317A" w:rsidRDefault="00FF317A">
      <w:pPr>
        <w:pStyle w:val="ConsPlusCell"/>
        <w:jc w:val="both"/>
      </w:pPr>
      <w:hyperlink r:id="rId26" w:history="1">
        <w:r>
          <w:rPr>
            <w:color w:val="0000FF"/>
          </w:rPr>
          <w:t>ГОСТ 25670-83</w:t>
        </w:r>
      </w:hyperlink>
      <w:r>
        <w:t xml:space="preserve">                        │</w:t>
      </w:r>
      <w:hyperlink w:anchor="P191" w:history="1">
        <w:r>
          <w:rPr>
            <w:color w:val="0000FF"/>
          </w:rPr>
          <w:t>2.2.6</w:t>
        </w:r>
      </w:hyperlink>
    </w:p>
    <w:p w:rsidR="00FF317A" w:rsidRDefault="00FF317A">
      <w:pPr>
        <w:pStyle w:val="ConsPlusCell"/>
        <w:jc w:val="both"/>
      </w:pPr>
      <w:hyperlink r:id="rId27" w:history="1">
        <w:r>
          <w:rPr>
            <w:color w:val="0000FF"/>
          </w:rPr>
          <w:t>СНиП 2.01.07-85</w:t>
        </w:r>
      </w:hyperlink>
      <w:r>
        <w:t xml:space="preserve">                      │</w:t>
      </w:r>
      <w:hyperlink w:anchor="P171" w:history="1">
        <w:r>
          <w:rPr>
            <w:color w:val="0000FF"/>
          </w:rPr>
          <w:t>2.2.2</w:t>
        </w:r>
      </w:hyperlink>
    </w:p>
    <w:p w:rsidR="00FF317A" w:rsidRDefault="00FF317A">
      <w:pPr>
        <w:pStyle w:val="ConsPlusCell"/>
        <w:jc w:val="both"/>
      </w:pPr>
      <w:hyperlink r:id="rId28" w:history="1">
        <w:r>
          <w:rPr>
            <w:color w:val="0000FF"/>
          </w:rPr>
          <w:t>СНиП 2.03.06-85</w:t>
        </w:r>
      </w:hyperlink>
      <w:r>
        <w:t xml:space="preserve">                      │</w:t>
      </w:r>
      <w:hyperlink w:anchor="P171" w:history="1">
        <w:r>
          <w:rPr>
            <w:color w:val="0000FF"/>
          </w:rPr>
          <w:t>2.2.2</w:t>
        </w:r>
      </w:hyperlink>
    </w:p>
    <w:p w:rsidR="00FF317A" w:rsidRDefault="00FF317A">
      <w:pPr>
        <w:pStyle w:val="ConsPlusCell"/>
        <w:jc w:val="both"/>
      </w:pPr>
      <w:hyperlink r:id="rId29" w:history="1">
        <w:r>
          <w:rPr>
            <w:color w:val="0000FF"/>
          </w:rPr>
          <w:t>СНиП 2.03.11-85</w:t>
        </w:r>
      </w:hyperlink>
      <w:r>
        <w:t xml:space="preserve">                      │</w:t>
      </w:r>
      <w:hyperlink w:anchor="P200" w:history="1">
        <w:r>
          <w:rPr>
            <w:color w:val="0000FF"/>
          </w:rPr>
          <w:t>2.2.13</w:t>
        </w:r>
      </w:hyperlink>
    </w:p>
    <w:p w:rsidR="00FF317A" w:rsidRDefault="00FF317A">
      <w:pPr>
        <w:pStyle w:val="ConsPlusCell"/>
        <w:jc w:val="both"/>
      </w:pPr>
      <w:hyperlink r:id="rId30" w:history="1">
        <w:r>
          <w:rPr>
            <w:color w:val="0000FF"/>
          </w:rPr>
          <w:t>СНиП II-23-81</w:t>
        </w:r>
      </w:hyperlink>
      <w:r>
        <w:t xml:space="preserve">                        │</w:t>
      </w:r>
      <w:hyperlink w:anchor="P171" w:history="1">
        <w:r>
          <w:rPr>
            <w:color w:val="0000FF"/>
          </w:rPr>
          <w:t>2.2.2</w:t>
        </w:r>
      </w:hyperlink>
    </w:p>
    <w:p w:rsidR="00FF317A" w:rsidRDefault="00FF317A">
      <w:pPr>
        <w:pStyle w:val="ConsPlusCell"/>
        <w:jc w:val="both"/>
      </w:pPr>
      <w:hyperlink r:id="rId31" w:history="1">
        <w:r>
          <w:rPr>
            <w:color w:val="0000FF"/>
          </w:rPr>
          <w:t>СНиП II-25-80</w:t>
        </w:r>
      </w:hyperlink>
      <w:r>
        <w:t xml:space="preserve">                        │</w:t>
      </w:r>
      <w:hyperlink w:anchor="P171" w:history="1">
        <w:r>
          <w:rPr>
            <w:color w:val="0000FF"/>
          </w:rPr>
          <w:t>2.2.2</w:t>
        </w:r>
      </w:hyperlink>
    </w:p>
    <w:p w:rsidR="00FF317A" w:rsidRDefault="00FF317A">
      <w:pPr>
        <w:pStyle w:val="ConsPlusCell"/>
        <w:jc w:val="both"/>
      </w:pPr>
      <w:hyperlink r:id="rId32" w:history="1">
        <w:r>
          <w:rPr>
            <w:color w:val="0000FF"/>
          </w:rPr>
          <w:t>СНиП III-4-80</w:t>
        </w:r>
      </w:hyperlink>
      <w:r>
        <w:t xml:space="preserve">                        │</w:t>
      </w:r>
      <w:hyperlink w:anchor="P259" w:history="1">
        <w:r>
          <w:rPr>
            <w:color w:val="0000FF"/>
          </w:rPr>
          <w:t>6.1</w:t>
        </w:r>
      </w:hyperlink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ind w:firstLine="540"/>
        <w:jc w:val="both"/>
      </w:pPr>
      <w:r>
        <w:t>Настоящий стандарт распространяется на средства подмащивания, применяемые в процессе производства строительно-монтажных работ при возведении, реконструкции, ремонта зданий и сооружений для организации рабочих мест на высоте.</w:t>
      </w:r>
    </w:p>
    <w:p w:rsidR="00FF317A" w:rsidRDefault="00FF317A">
      <w:pPr>
        <w:pStyle w:val="ConsPlusNormal"/>
        <w:ind w:firstLine="540"/>
        <w:jc w:val="both"/>
      </w:pPr>
      <w:r>
        <w:t>Стандарт не распространяется на конструкции, совмещающие функции средств подмащивания с какими-либо другими функциями (опалубки, кондуктора и т.п.) или используемые для подъема или приемки грузов (подъемники, площадки для приемки доставляемых на высоту грузов и т.п.), а также на ходовую часть самоходных средств подмащивания и гидравлический привод средств подмащивания.</w:t>
      </w:r>
    </w:p>
    <w:p w:rsidR="00FF317A" w:rsidRDefault="00FF317A">
      <w:pPr>
        <w:pStyle w:val="ConsPlusNormal"/>
        <w:ind w:firstLine="540"/>
        <w:jc w:val="both"/>
      </w:pPr>
      <w:r>
        <w:t xml:space="preserve">Пояснения к терминам, используемым в настоящем стандарте, приведены в </w:t>
      </w:r>
      <w:hyperlink w:anchor="P277" w:history="1">
        <w:r>
          <w:rPr>
            <w:color w:val="0000FF"/>
          </w:rPr>
          <w:t>Приложении 1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1. ТИПЫ И ОСНОВНЫЕ ПАРАМЕТРЫ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r>
        <w:t>Типы и основные параметры средств подмащивания должны соответствовать приведенным в таблице.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───────────────────────────┬─────────────────────┬────────────────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 Наименование средств    │Значение нормативной │ Высота рабочей</w:t>
      </w:r>
    </w:p>
    <w:p w:rsidR="00FF317A" w:rsidRDefault="00FF317A">
      <w:pPr>
        <w:pStyle w:val="ConsPlusCell"/>
        <w:jc w:val="both"/>
      </w:pPr>
      <w:r>
        <w:t xml:space="preserve">       подмащивания        │    поверхностной    │площадки средств</w:t>
      </w:r>
    </w:p>
    <w:p w:rsidR="00FF317A" w:rsidRDefault="00FF317A">
      <w:pPr>
        <w:pStyle w:val="ConsPlusCell"/>
        <w:jc w:val="both"/>
      </w:pPr>
      <w:r>
        <w:t xml:space="preserve">                           │нагрузки, Па (кгс/м2)│подмащивания, м,</w:t>
      </w:r>
    </w:p>
    <w:p w:rsidR="00FF317A" w:rsidRDefault="00FF317A">
      <w:pPr>
        <w:pStyle w:val="ConsPlusCell"/>
        <w:jc w:val="both"/>
      </w:pPr>
      <w:r>
        <w:t xml:space="preserve">                           │                     │    не более</w:t>
      </w:r>
    </w:p>
    <w:p w:rsidR="00FF317A" w:rsidRDefault="00FF317A">
      <w:pPr>
        <w:pStyle w:val="ConsPlusCell"/>
        <w:jc w:val="both"/>
      </w:pPr>
      <w:r>
        <w:lastRenderedPageBreak/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Леса стоечные приставные │1000 (100)           │100,0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Cell"/>
        <w:jc w:val="both"/>
      </w:pPr>
      <w:r>
        <w:t xml:space="preserve">                           │2500 (250)           │</w:t>
      </w:r>
    </w:p>
    <w:p w:rsidR="00FF317A" w:rsidRDefault="00FF317A">
      <w:pPr>
        <w:pStyle w:val="ConsPlusCell"/>
        <w:jc w:val="both"/>
      </w:pPr>
      <w:r>
        <w:t xml:space="preserve">                           │3000 (300)           │</w:t>
      </w:r>
    </w:p>
    <w:p w:rsidR="00FF317A" w:rsidRDefault="00FF317A">
      <w:pPr>
        <w:pStyle w:val="ConsPlusCell"/>
        <w:jc w:val="both"/>
      </w:pPr>
      <w:r>
        <w:t xml:space="preserve">                           │5000 (500)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Леса свободностоящие     │1000 (100)           │20,0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Леса передвижные         │1000 (100)           │20,0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Леса навесные            │1000 (100)           │20,0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Подмости сборно-разборные│2000 (200)           │16,0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Подмости передвижные с   │2000 (200)           │120,0</w:t>
      </w:r>
    </w:p>
    <w:p w:rsidR="00FF317A" w:rsidRDefault="00FF317A">
      <w:pPr>
        <w:pStyle w:val="ConsPlusCell"/>
        <w:jc w:val="both"/>
      </w:pPr>
      <w:r>
        <w:t>перемещаемым рабочим       │3000 (300)           │</w:t>
      </w:r>
    </w:p>
    <w:p w:rsidR="00FF317A" w:rsidRDefault="00FF317A">
      <w:pPr>
        <w:pStyle w:val="ConsPlusCell"/>
        <w:jc w:val="both"/>
      </w:pPr>
      <w:r>
        <w:t>местом                     │5000 (500)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Подмости навесные        │2000 (200)           │10,0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Вышки передвижные        │1000 (100)           │20,0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Люльки электрические     │1000 (100)           │150,0</w:t>
      </w:r>
    </w:p>
    <w:p w:rsidR="00FF317A" w:rsidRDefault="00FF317A">
      <w:pPr>
        <w:pStyle w:val="ConsPlusCell"/>
        <w:jc w:val="both"/>
      </w:pPr>
      <w:r>
        <w:t>подвесные                  │2000 (200)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Площадки, навешиваемые на│2000 (200)           │2,0</w:t>
      </w:r>
    </w:p>
    <w:p w:rsidR="00FF317A" w:rsidRDefault="00FF317A">
      <w:pPr>
        <w:pStyle w:val="ConsPlusCell"/>
        <w:jc w:val="both"/>
      </w:pPr>
      <w:r>
        <w:t>лестницы                   │          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Площадки, навешиваемые на│2000 (200)           │8,0</w:t>
      </w:r>
    </w:p>
    <w:p w:rsidR="00FF317A" w:rsidRDefault="00FF317A">
      <w:pPr>
        <w:pStyle w:val="ConsPlusCell"/>
        <w:jc w:val="both"/>
      </w:pPr>
      <w:r>
        <w:t>строительные конструкции   │          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Лестницы свободностоящие │2000 (200)           │20,0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Лестницы навесные        │2000 (200)           │10,0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Лестницы приставные      │2000 (200)           │22,0</w:t>
      </w:r>
    </w:p>
    <w:p w:rsidR="00FF317A" w:rsidRDefault="00FF317A">
      <w:pPr>
        <w:pStyle w:val="ConsPlusCell"/>
        <w:jc w:val="both"/>
      </w:pPr>
      <w:r>
        <w:t>наклонные                  │          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Лестницы приставные      │2000 (200)           │22,0</w:t>
      </w:r>
    </w:p>
    <w:p w:rsidR="00FF317A" w:rsidRDefault="00FF317A">
      <w:pPr>
        <w:pStyle w:val="ConsPlusCell"/>
        <w:jc w:val="both"/>
      </w:pPr>
      <w:r>
        <w:t>вертикальные               │                     │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───────────────────────────┼─────────────────────┼────────────────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Лестницы маршевые        │1000 (100)           │30,0</w:t>
      </w:r>
    </w:p>
    <w:p w:rsidR="00FF317A" w:rsidRDefault="00FF317A">
      <w:pPr>
        <w:pStyle w:val="ConsPlusCell"/>
        <w:jc w:val="both"/>
      </w:pPr>
      <w:r>
        <w:t xml:space="preserve">                           │2000 (200)           │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jc w:val="center"/>
      </w:pPr>
      <w:r>
        <w:t>2. ТЕХНИЧЕСКИЕ ТРЕБОВАНИЯ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bookmarkStart w:id="0" w:name="P168"/>
      <w:bookmarkEnd w:id="0"/>
      <w:r>
        <w:t xml:space="preserve">2.1. Средства подмащивания должны быть разработаны и изготовлены в соответствии с требованиями настоящего стандарта, стандартов на средства подмащивания конкретного типа, </w:t>
      </w:r>
      <w:hyperlink r:id="rId33" w:history="1">
        <w:r>
          <w:rPr>
            <w:color w:val="0000FF"/>
          </w:rPr>
          <w:t>ГОСТ 15.001</w:t>
        </w:r>
      </w:hyperlink>
      <w:r>
        <w:t>; по конструкторской документации, утвержденной в установленном порядке. Средства подмащивания с машинным приводом для перемещения рабочих мест по высоте должны также удовлетворять требованиям "Правил устройства и безопасной эксплуатации грузоподъемных кранов" Госгортехнадзора СССР и "Правил устройства электроустановок (</w:t>
      </w:r>
      <w:hyperlink r:id="rId34" w:history="1">
        <w:r>
          <w:rPr>
            <w:color w:val="0000FF"/>
          </w:rPr>
          <w:t>ПУЭ</w:t>
        </w:r>
      </w:hyperlink>
      <w:r>
        <w:t>)" Минэнерго СССР.</w:t>
      </w:r>
    </w:p>
    <w:p w:rsidR="00FF317A" w:rsidRDefault="00FF317A">
      <w:pPr>
        <w:pStyle w:val="ConsPlusNormal"/>
        <w:ind w:firstLine="540"/>
        <w:jc w:val="both"/>
      </w:pPr>
      <w:r>
        <w:t>2.2. Характеристики</w:t>
      </w:r>
    </w:p>
    <w:p w:rsidR="00FF317A" w:rsidRDefault="00FF317A">
      <w:pPr>
        <w:pStyle w:val="ConsPlusNormal"/>
        <w:ind w:firstLine="540"/>
        <w:jc w:val="both"/>
      </w:pPr>
      <w:bookmarkStart w:id="1" w:name="P170"/>
      <w:bookmarkEnd w:id="1"/>
      <w:r>
        <w:t xml:space="preserve">2.2.1. Средства подмащивания должны быть разработаны и изготовлены в климатическом исполнении У или ХЛ по </w:t>
      </w:r>
      <w:hyperlink r:id="rId35" w:history="1">
        <w:r>
          <w:rPr>
            <w:color w:val="0000FF"/>
          </w:rPr>
          <w:t>ГОСТ 15150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bookmarkStart w:id="2" w:name="P171"/>
      <w:bookmarkEnd w:id="2"/>
      <w:r>
        <w:t xml:space="preserve">2.2.2. При разработке конструкции средств подмащивания следует руководствоваться </w:t>
      </w:r>
      <w:hyperlink r:id="rId36" w:history="1">
        <w:r>
          <w:rPr>
            <w:color w:val="0000FF"/>
          </w:rPr>
          <w:t>СНиП 2.01.07-85</w:t>
        </w:r>
      </w:hyperlink>
      <w:r>
        <w:t xml:space="preserve">, </w:t>
      </w:r>
      <w:hyperlink r:id="rId37" w:history="1">
        <w:r>
          <w:rPr>
            <w:color w:val="0000FF"/>
          </w:rPr>
          <w:t>СНиП II-23-81</w:t>
        </w:r>
      </w:hyperlink>
      <w:r>
        <w:t xml:space="preserve">, </w:t>
      </w:r>
      <w:hyperlink r:id="rId38" w:history="1">
        <w:r>
          <w:rPr>
            <w:color w:val="0000FF"/>
          </w:rPr>
          <w:t>СНиП 2.03.06-85</w:t>
        </w:r>
      </w:hyperlink>
      <w:r>
        <w:t xml:space="preserve">, </w:t>
      </w:r>
      <w:hyperlink r:id="rId39" w:history="1">
        <w:r>
          <w:rPr>
            <w:color w:val="0000FF"/>
          </w:rPr>
          <w:t>СНиП II-25-80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r>
        <w:t>2.2.3. Средства подмащивания должны выдерживать нагрузку от собственной массы и временные нагрузки от людей, материалов и ветра.</w:t>
      </w:r>
    </w:p>
    <w:p w:rsidR="00FF317A" w:rsidRDefault="00FF317A">
      <w:pPr>
        <w:pStyle w:val="ConsPlusNormal"/>
        <w:ind w:firstLine="540"/>
        <w:jc w:val="both"/>
      </w:pPr>
      <w:r>
        <w:lastRenderedPageBreak/>
        <w:t>2.2.4. При разработке конструкторской документации следует принимать:</w:t>
      </w:r>
    </w:p>
    <w:p w:rsidR="00FF317A" w:rsidRDefault="00FF317A">
      <w:pPr>
        <w:pStyle w:val="ConsPlusNormal"/>
        <w:ind w:firstLine="540"/>
        <w:jc w:val="both"/>
      </w:pPr>
      <w:r>
        <w:t>коэффициент надежности по нагрузке:</w:t>
      </w:r>
    </w:p>
    <w:p w:rsidR="00FF317A" w:rsidRDefault="00FF317A">
      <w:pPr>
        <w:pStyle w:val="ConsPlusNormal"/>
        <w:ind w:firstLine="540"/>
        <w:jc w:val="both"/>
      </w:pPr>
      <w:r>
        <w:t>1,2 - от людей и материалов,</w:t>
      </w:r>
    </w:p>
    <w:p w:rsidR="00FF317A" w:rsidRDefault="00FF317A">
      <w:pPr>
        <w:pStyle w:val="ConsPlusNormal"/>
        <w:ind w:firstLine="540"/>
        <w:jc w:val="both"/>
      </w:pPr>
      <w:r>
        <w:t>1,1 - от собственной массы,</w:t>
      </w:r>
    </w:p>
    <w:p w:rsidR="00FF317A" w:rsidRDefault="00FF317A">
      <w:pPr>
        <w:pStyle w:val="ConsPlusNormal"/>
        <w:ind w:firstLine="540"/>
        <w:jc w:val="both"/>
      </w:pPr>
      <w:r>
        <w:t>1,3 - от ветра;</w:t>
      </w:r>
    </w:p>
    <w:p w:rsidR="00FF317A" w:rsidRDefault="00FF317A">
      <w:pPr>
        <w:pStyle w:val="ConsPlusNormal"/>
        <w:ind w:firstLine="540"/>
        <w:jc w:val="both"/>
      </w:pPr>
      <w:r>
        <w:t>коэффициент надежности по назначению:</w:t>
      </w:r>
    </w:p>
    <w:p w:rsidR="00FF317A" w:rsidRDefault="00FF317A">
      <w:pPr>
        <w:pStyle w:val="ConsPlusNormal"/>
        <w:ind w:firstLine="540"/>
        <w:jc w:val="both"/>
      </w:pPr>
      <w:r>
        <w:t>7 - при расчете подвесок из стального каната,</w:t>
      </w:r>
    </w:p>
    <w:p w:rsidR="00FF317A" w:rsidRDefault="00FF317A">
      <w:pPr>
        <w:pStyle w:val="ConsPlusNormal"/>
        <w:ind w:firstLine="540"/>
        <w:jc w:val="both"/>
      </w:pPr>
      <w:r>
        <w:t>9 - при расчете канатов лебедок, предназначенных для подъема людей,</w:t>
      </w:r>
    </w:p>
    <w:p w:rsidR="00FF317A" w:rsidRDefault="00FF317A">
      <w:pPr>
        <w:pStyle w:val="ConsPlusNormal"/>
        <w:ind w:firstLine="540"/>
        <w:jc w:val="both"/>
      </w:pPr>
      <w:r>
        <w:t>4 - при расчете стержневых подвесок,</w:t>
      </w:r>
    </w:p>
    <w:p w:rsidR="00FF317A" w:rsidRDefault="00FF317A">
      <w:pPr>
        <w:pStyle w:val="ConsPlusNormal"/>
        <w:ind w:firstLine="540"/>
        <w:jc w:val="both"/>
      </w:pPr>
      <w:r>
        <w:t>1,5 - при расчете креплений средств подмащивания к строительным конструкциям,</w:t>
      </w:r>
    </w:p>
    <w:p w:rsidR="00FF317A" w:rsidRDefault="00FF317A">
      <w:pPr>
        <w:pStyle w:val="ConsPlusNormal"/>
        <w:ind w:firstLine="540"/>
        <w:jc w:val="both"/>
      </w:pPr>
      <w:r>
        <w:t>3,0 - при расчете удельного давления опор на грунт,</w:t>
      </w:r>
    </w:p>
    <w:p w:rsidR="00FF317A" w:rsidRDefault="00FF317A">
      <w:pPr>
        <w:pStyle w:val="ConsPlusNormal"/>
        <w:ind w:firstLine="540"/>
        <w:jc w:val="both"/>
      </w:pPr>
      <w:r>
        <w:t>1,0 - при расчете прочих элементов;</w:t>
      </w:r>
    </w:p>
    <w:p w:rsidR="00FF317A" w:rsidRDefault="00FF317A">
      <w:pPr>
        <w:pStyle w:val="ConsPlusNormal"/>
        <w:ind w:firstLine="540"/>
        <w:jc w:val="both"/>
      </w:pPr>
      <w:r>
        <w:t>коэффициент условий работы элементов конструкции:</w:t>
      </w:r>
    </w:p>
    <w:p w:rsidR="00FF317A" w:rsidRDefault="00FF317A">
      <w:pPr>
        <w:pStyle w:val="ConsPlusNormal"/>
        <w:ind w:firstLine="540"/>
        <w:jc w:val="both"/>
      </w:pPr>
      <w:r>
        <w:t>0,9 - при расчете стоек на устойчивость,</w:t>
      </w:r>
    </w:p>
    <w:p w:rsidR="00FF317A" w:rsidRDefault="00FF317A">
      <w:pPr>
        <w:pStyle w:val="ConsPlusNormal"/>
        <w:ind w:firstLine="540"/>
        <w:jc w:val="both"/>
      </w:pPr>
      <w:r>
        <w:t>1,5 - при расчете перил ограждения;</w:t>
      </w:r>
    </w:p>
    <w:p w:rsidR="00FF317A" w:rsidRDefault="00FF317A">
      <w:pPr>
        <w:pStyle w:val="ConsPlusNormal"/>
        <w:ind w:firstLine="540"/>
        <w:jc w:val="both"/>
      </w:pPr>
      <w:r>
        <w:t>коэффициент запаса на опрокидывание:</w:t>
      </w:r>
    </w:p>
    <w:p w:rsidR="00FF317A" w:rsidRDefault="00FF317A">
      <w:pPr>
        <w:pStyle w:val="ConsPlusNormal"/>
        <w:ind w:firstLine="540"/>
        <w:jc w:val="both"/>
      </w:pPr>
      <w:r>
        <w:t>1,4 - при расчете устойчивости свободностоящих и передвижных средств подмащивания.</w:t>
      </w:r>
    </w:p>
    <w:p w:rsidR="00FF317A" w:rsidRDefault="00FF317A">
      <w:pPr>
        <w:pStyle w:val="ConsPlusNormal"/>
        <w:ind w:firstLine="540"/>
        <w:jc w:val="both"/>
      </w:pPr>
      <w:r>
        <w:t>2.2.5. Марки материалов несущих элементов средств подмащивания должны быть указаны в стандартах или технических условиях на средства подмащивания конкретного типа.</w:t>
      </w:r>
    </w:p>
    <w:p w:rsidR="00FF317A" w:rsidRDefault="00FF317A">
      <w:pPr>
        <w:pStyle w:val="ConsPlusNormal"/>
        <w:ind w:firstLine="540"/>
        <w:jc w:val="both"/>
      </w:pPr>
      <w:bookmarkStart w:id="3" w:name="P191"/>
      <w:bookmarkEnd w:id="3"/>
      <w:r>
        <w:t>2.2.6. Предельные отклонения размеров деталей средств подмащивания должны быть приведены в конструкторской документации.</w:t>
      </w:r>
    </w:p>
    <w:p w:rsidR="00FF317A" w:rsidRDefault="00FF317A">
      <w:pPr>
        <w:pStyle w:val="ConsPlusNormal"/>
        <w:ind w:firstLine="540"/>
        <w:jc w:val="both"/>
      </w:pPr>
      <w:r>
        <w:t>2.2.7. Масса сборочных элементов, приходящаяся на одного рабочего при ручной сборке средств подмащивания на строительном объекте, должна быть не более:</w:t>
      </w:r>
    </w:p>
    <w:p w:rsidR="00FF317A" w:rsidRDefault="00FF317A">
      <w:pPr>
        <w:pStyle w:val="ConsPlusNormal"/>
        <w:ind w:firstLine="540"/>
        <w:jc w:val="both"/>
      </w:pPr>
      <w:r>
        <w:t>25 кг - при монтаже средств подмащивания на высоте;</w:t>
      </w:r>
    </w:p>
    <w:p w:rsidR="00FF317A" w:rsidRDefault="00FF317A">
      <w:pPr>
        <w:pStyle w:val="ConsPlusNormal"/>
        <w:ind w:firstLine="540"/>
        <w:jc w:val="both"/>
      </w:pPr>
      <w:r>
        <w:t>50 кг - при монтаже средств подмащивания на земле или перекрытии (с последующей установкой их в рабочее положение монтажными кранами, лебедками и т.п.).</w:t>
      </w:r>
    </w:p>
    <w:p w:rsidR="00FF317A" w:rsidRDefault="00FF317A">
      <w:pPr>
        <w:pStyle w:val="ConsPlusNormal"/>
        <w:ind w:firstLine="540"/>
        <w:jc w:val="both"/>
      </w:pPr>
      <w:r>
        <w:t>2.2.8. Значение и направление нормативной нагрузки на перильное ограждение должны быть указаны в стандартах или технических условиях на средства подмащивания конкретных типов.</w:t>
      </w:r>
    </w:p>
    <w:p w:rsidR="00FF317A" w:rsidRDefault="00FF317A">
      <w:pPr>
        <w:pStyle w:val="ConsPlusNormal"/>
        <w:ind w:firstLine="540"/>
        <w:jc w:val="both"/>
      </w:pPr>
      <w:r>
        <w:t>2.2.9. Усилие на рукоятках при вращении ручных приводов средств подмащивания должно быть не более 160 Н (16 кгс).</w:t>
      </w:r>
    </w:p>
    <w:p w:rsidR="00FF317A" w:rsidRDefault="00FF317A">
      <w:pPr>
        <w:pStyle w:val="ConsPlusNormal"/>
        <w:ind w:firstLine="540"/>
        <w:jc w:val="both"/>
      </w:pPr>
      <w:r>
        <w:t>2.2.10. Превышение массы средств подмащивания от проектной должно быть не более 3%.</w:t>
      </w:r>
    </w:p>
    <w:p w:rsidR="00FF317A" w:rsidRDefault="00FF317A">
      <w:pPr>
        <w:pStyle w:val="ConsPlusNormal"/>
        <w:ind w:firstLine="540"/>
        <w:jc w:val="both"/>
      </w:pPr>
      <w:r>
        <w:t>2.2.11. Для подъема кранами средства подмащивания должны иметь строповочные устройства.</w:t>
      </w:r>
    </w:p>
    <w:p w:rsidR="00FF317A" w:rsidRDefault="00FF317A">
      <w:pPr>
        <w:pStyle w:val="ConsPlusNormal"/>
        <w:ind w:firstLine="540"/>
        <w:jc w:val="both"/>
      </w:pPr>
      <w:r>
        <w:t>2.2.12. В коробчатых и трубчатых конструкциях должны быть предусмотрены меры против скопления в них влаги.</w:t>
      </w:r>
    </w:p>
    <w:p w:rsidR="00FF317A" w:rsidRDefault="00FF317A">
      <w:pPr>
        <w:pStyle w:val="ConsPlusNormal"/>
        <w:ind w:firstLine="540"/>
        <w:jc w:val="both"/>
      </w:pPr>
      <w:bookmarkStart w:id="4" w:name="P200"/>
      <w:bookmarkEnd w:id="4"/>
      <w:r>
        <w:t xml:space="preserve">2.2.13. Стальные конструкции средств подмащивания должны быть огрунтованы и окрашены на предприятии-изготовителе лакокрасочными материалами, соответствующими слабоагрессивной среде по </w:t>
      </w:r>
      <w:hyperlink r:id="rId40" w:history="1">
        <w:r>
          <w:rPr>
            <w:color w:val="0000FF"/>
          </w:rPr>
          <w:t>СНиП 2.03.11-85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bookmarkStart w:id="5" w:name="P201"/>
      <w:bookmarkEnd w:id="5"/>
      <w:r>
        <w:t xml:space="preserve">2.2.14. Поверхность стальных элементов средств подмащивания должна быть перед окраской очищена до 4-й степени по </w:t>
      </w:r>
      <w:hyperlink r:id="rId41" w:history="1">
        <w:r>
          <w:rPr>
            <w:color w:val="0000FF"/>
          </w:rPr>
          <w:t>ГОСТ 9.402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r>
        <w:t>2.2.15. Стальные детали, имеющие контакт с элементами конструкций из алюминиевых сплавов, должны иметь покрытие, исключающее возможность образования электропары между ними.</w:t>
      </w:r>
    </w:p>
    <w:p w:rsidR="00FF317A" w:rsidRDefault="00FF317A">
      <w:pPr>
        <w:pStyle w:val="ConsPlusNormal"/>
        <w:ind w:firstLine="540"/>
        <w:jc w:val="both"/>
      </w:pPr>
      <w:r>
        <w:t>2.2.16. Средства подмащивания, рабочий настил которых расположен на высоте 1,3 м и более от поверхности земли или перекрытия, должны иметь перильное и бортовое ограждение.</w:t>
      </w:r>
    </w:p>
    <w:p w:rsidR="00FF317A" w:rsidRDefault="00FF317A">
      <w:pPr>
        <w:pStyle w:val="ConsPlusNormal"/>
        <w:ind w:firstLine="540"/>
        <w:jc w:val="both"/>
      </w:pPr>
      <w:r>
        <w:t>2.2.17. Высоту ограждения указывают в стандартах на средства подмащивания конкретного типа. Расстояние между горизонтальными элементами ограждения должно быть не более 0,45 м или ограждение должно иметь сетчатое, решетчатое и т.п. заполнение.</w:t>
      </w:r>
    </w:p>
    <w:p w:rsidR="00FF317A" w:rsidRDefault="00FF317A">
      <w:pPr>
        <w:pStyle w:val="ConsPlusNormal"/>
        <w:ind w:firstLine="540"/>
        <w:jc w:val="both"/>
      </w:pPr>
      <w:r>
        <w:t>2.2.18. Средства подмащивания с машинным приводом для перемещения рабочего места по высоте должны иметь: аппарат управления перемещением, расположенный непосредственно на рабочем месте; ограничители высоты подъема; предохранительные устройства (ловители), препятствующие самопроизвольному опусканию (падению) рабочего места.</w:t>
      </w:r>
    </w:p>
    <w:p w:rsidR="00FF317A" w:rsidRDefault="00FF317A">
      <w:pPr>
        <w:pStyle w:val="ConsPlusNormal"/>
        <w:ind w:firstLine="540"/>
        <w:jc w:val="both"/>
      </w:pPr>
      <w:r>
        <w:t>2.2.19. Конструкции разъемных соединений должны иметь фиксирующие устройства, предохраняющие их от самопроизвольного разъединения.</w:t>
      </w:r>
    </w:p>
    <w:p w:rsidR="00FF317A" w:rsidRDefault="00FF317A">
      <w:pPr>
        <w:pStyle w:val="ConsPlusNormal"/>
        <w:ind w:firstLine="540"/>
        <w:jc w:val="both"/>
      </w:pPr>
      <w:r>
        <w:t>2.2.20. На металлических деталях и элементах не допускается наличие острых кромок, заусенцев, трещин, раковин, расслоений.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Взамен ГОСТ 12.4.026-76 Постановлением Госстандарта РФ от 19.09.2001 N 387-ст с 1 января 2003 года введен в действие </w:t>
      </w:r>
      <w:hyperlink r:id="rId42" w:history="1">
        <w:r>
          <w:rPr>
            <w:color w:val="0000FF"/>
          </w:rPr>
          <w:t>ГОСТ Р 12.4.026-2001</w:t>
        </w:r>
      </w:hyperlink>
      <w:r>
        <w:rPr>
          <w:color w:val="0A2666"/>
        </w:rP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bookmarkStart w:id="6" w:name="P212"/>
      <w:bookmarkEnd w:id="6"/>
      <w:r>
        <w:t>2.2.21. Сигнальная окраска средств подмащивания должна соответствовать ГОСТ 12.4.026.</w:t>
      </w:r>
    </w:p>
    <w:p w:rsidR="00FF317A" w:rsidRDefault="00FF317A">
      <w:pPr>
        <w:pStyle w:val="ConsPlusNormal"/>
        <w:ind w:firstLine="540"/>
        <w:jc w:val="both"/>
      </w:pPr>
      <w:r>
        <w:t>2.3. Комплектность</w:t>
      </w:r>
    </w:p>
    <w:p w:rsidR="00FF317A" w:rsidRDefault="00FF317A">
      <w:pPr>
        <w:pStyle w:val="ConsPlusNormal"/>
        <w:ind w:firstLine="540"/>
        <w:jc w:val="both"/>
      </w:pPr>
      <w:r>
        <w:t>2.3.1. В комплект поставки должны входить: средство подмащивания конкретного типа согласно комплектовочной ведомости; паспорт с инструкцией по эксплуатации.</w:t>
      </w:r>
    </w:p>
    <w:p w:rsidR="00FF317A" w:rsidRDefault="00FF317A">
      <w:pPr>
        <w:pStyle w:val="ConsPlusNormal"/>
        <w:ind w:firstLine="540"/>
        <w:jc w:val="both"/>
      </w:pPr>
      <w:r>
        <w:lastRenderedPageBreak/>
        <w:t>2.4. Маркировка</w:t>
      </w:r>
    </w:p>
    <w:p w:rsidR="00FF317A" w:rsidRDefault="00FF317A">
      <w:pPr>
        <w:pStyle w:val="ConsPlusNormal"/>
        <w:ind w:firstLine="540"/>
        <w:jc w:val="both"/>
      </w:pPr>
      <w:r>
        <w:t>2.4.1. Каждое средство подмащивания должно иметь маркировку, содержащую: товарный знак (при наличии) или наименование предприятия-изготовителя; обозначение изделия (марку); номер изделия или партии; дату изготовления.</w:t>
      </w:r>
    </w:p>
    <w:p w:rsidR="00FF317A" w:rsidRDefault="00FF317A">
      <w:pPr>
        <w:pStyle w:val="ConsPlusNormal"/>
        <w:ind w:firstLine="540"/>
        <w:jc w:val="both"/>
      </w:pPr>
      <w:r>
        <w:t>2.4.2. Способ, место нанесения маркировки и др. указывают в стандартах или технических условиях на средства подмащивания конкретного типа.</w:t>
      </w:r>
    </w:p>
    <w:p w:rsidR="00FF317A" w:rsidRDefault="00FF317A">
      <w:pPr>
        <w:pStyle w:val="ConsPlusNormal"/>
        <w:ind w:firstLine="540"/>
        <w:jc w:val="both"/>
      </w:pPr>
      <w:r>
        <w:t>2.5. Упаковка</w:t>
      </w:r>
    </w:p>
    <w:p w:rsidR="00FF317A" w:rsidRDefault="00FF317A">
      <w:pPr>
        <w:pStyle w:val="ConsPlusNormal"/>
        <w:ind w:firstLine="540"/>
        <w:jc w:val="both"/>
      </w:pPr>
      <w:r>
        <w:t>2.5.1. Способ упаковки, транспортную маркировку упаковки указывают в стандартах или технических условиях на средства подмащивания конкретного типа.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3. ПРИЕМКА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r>
        <w:t>3.1. Для проверки соответствия средств подмащивания требованиям настоящего стандарта предприятие-изготовитель должно проводить приемосдаточные, периодические и типовые испытания.</w:t>
      </w:r>
    </w:p>
    <w:p w:rsidR="00FF317A" w:rsidRDefault="00FF317A">
      <w:pPr>
        <w:pStyle w:val="ConsPlusNormal"/>
        <w:ind w:firstLine="540"/>
        <w:jc w:val="both"/>
      </w:pPr>
      <w:r>
        <w:t>3.2. Порядок предъявления к испытаниям, объем предъявляемых партий, состав испытаний, проверяемые параметры и технические свойства, а также последовательность их проверки должны быть указаны в стандартах или технических условиях на средства подмащивания конкретного типа.</w:t>
      </w:r>
    </w:p>
    <w:p w:rsidR="00FF317A" w:rsidRDefault="00FF317A">
      <w:pPr>
        <w:pStyle w:val="ConsPlusNormal"/>
        <w:ind w:firstLine="540"/>
        <w:jc w:val="both"/>
      </w:pPr>
      <w:r>
        <w:t xml:space="preserve">3.3. Предприятие-изготовитель средств подмащивания должно составить на них паспорт по форме, приведенной в </w:t>
      </w:r>
      <w:hyperlink w:anchor="P328" w:history="1">
        <w:r>
          <w:rPr>
            <w:color w:val="0000FF"/>
          </w:rPr>
          <w:t>Приложении 2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4. МЕТОДЫ КОНТРОЛЯ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r>
        <w:t>4.1. Качество материалов и изделий должно быть удостоверено сертификатами предприятий-изготовителей.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Госстандарта РФ от 27.07.1999 N 220-ст с 1 июля 2000 года введен в действие </w:t>
      </w:r>
      <w:hyperlink r:id="rId43" w:history="1">
        <w:r>
          <w:rPr>
            <w:color w:val="0000FF"/>
          </w:rPr>
          <w:t>ГОСТ 7502-98</w:t>
        </w:r>
      </w:hyperlink>
      <w:r>
        <w:rPr>
          <w:color w:val="0A2666"/>
        </w:rP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Взамен ГОСТ 166-80 Постановлением Госстандарта СССР от 30.10.1989 N 3253 с 1 января 1991 года введен в действие </w:t>
      </w:r>
      <w:hyperlink r:id="rId44" w:history="1">
        <w:r>
          <w:rPr>
            <w:color w:val="0000FF"/>
          </w:rPr>
          <w:t>ГОСТ 166-89</w:t>
        </w:r>
      </w:hyperlink>
      <w:r>
        <w:rPr>
          <w:color w:val="0A2666"/>
        </w:rP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Взамен ГОСТ 8.002-86 на территории Российской Федерации с 1 декабря 2001 года введены в действие </w:t>
      </w:r>
      <w:hyperlink r:id="rId45" w:history="1">
        <w:r>
          <w:rPr>
            <w:color w:val="0000FF"/>
          </w:rPr>
          <w:t>ПР 50.2.002-94</w:t>
        </w:r>
      </w:hyperlink>
      <w:r>
        <w:rPr>
          <w:color w:val="0A2666"/>
        </w:rPr>
        <w:t xml:space="preserve"> "ГСИ.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 и норм" (</w:t>
      </w:r>
      <w:hyperlink r:id="rId4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Госстандарта России от 27.09.2001 N 394-ст).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Взамен ГОСТ 5378-66 Постановлением Госстандарта СССР от 17.10.1988 N 3447 с 1 января 1990 года введен в действие </w:t>
      </w:r>
      <w:hyperlink r:id="rId47" w:history="1">
        <w:r>
          <w:rPr>
            <w:color w:val="0000FF"/>
          </w:rPr>
          <w:t>ГОСТ 5378-88</w:t>
        </w:r>
      </w:hyperlink>
      <w:r>
        <w:rPr>
          <w:color w:val="0A2666"/>
        </w:rP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bookmarkStart w:id="7" w:name="P243"/>
      <w:bookmarkEnd w:id="7"/>
      <w:r>
        <w:t xml:space="preserve">4.2. Геометрические размеры средств подмащивания и их элементов проверяют рулеткой по ГОСТ 7502, металлической линейкой по </w:t>
      </w:r>
      <w:hyperlink r:id="rId48" w:history="1">
        <w:r>
          <w:rPr>
            <w:color w:val="0000FF"/>
          </w:rPr>
          <w:t>ГОСТ 427</w:t>
        </w:r>
      </w:hyperlink>
      <w:r>
        <w:t xml:space="preserve">, штангенциркулем по ГОСТ 166, угломером с нониусом по ГОСТ 5378 или другими инструментами, обеспечивающими точность измерений до 1 мм и проверенными метрологическими организациями Госстандарта СССР в соответствии с требованиями ГОСТ 8.002 и </w:t>
      </w:r>
      <w:hyperlink r:id="rId49" w:history="1">
        <w:r>
          <w:rPr>
            <w:color w:val="0000FF"/>
          </w:rPr>
          <w:t>ГОСТ 8.513</w:t>
        </w:r>
      </w:hyperlink>
      <w: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317A" w:rsidRDefault="00FF317A">
      <w:pPr>
        <w:pStyle w:val="ConsPlusNormal"/>
        <w:ind w:firstLine="540"/>
        <w:jc w:val="both"/>
      </w:pPr>
      <w:r>
        <w:rPr>
          <w:color w:val="0A2666"/>
        </w:rPr>
        <w:t xml:space="preserve">Взамен ГОСТ 23676-79 Постановлением Госстандарта РФ от 27.03.1992 N 294 с 1 января 1994 года введен в действие </w:t>
      </w:r>
      <w:hyperlink r:id="rId50" w:history="1">
        <w:r>
          <w:rPr>
            <w:color w:val="0000FF"/>
          </w:rPr>
          <w:t>ГОСТ 29329-92</w:t>
        </w:r>
      </w:hyperlink>
      <w:r>
        <w:rPr>
          <w:color w:val="0A2666"/>
        </w:rPr>
        <w:t>.</w:t>
      </w: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7A" w:rsidRDefault="00FF317A">
      <w:pPr>
        <w:pStyle w:val="ConsPlusNormal"/>
        <w:ind w:firstLine="540"/>
        <w:jc w:val="both"/>
      </w:pPr>
      <w:bookmarkStart w:id="8" w:name="P248"/>
      <w:bookmarkEnd w:id="8"/>
      <w:r>
        <w:t xml:space="preserve">4.3. Массу средств подмащивания следует измерять на весах по ГОСТ 23676 или динамометром по </w:t>
      </w:r>
      <w:hyperlink r:id="rId51" w:history="1">
        <w:r>
          <w:rPr>
            <w:color w:val="0000FF"/>
          </w:rPr>
          <w:t>ГОСТ 13837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bookmarkStart w:id="9" w:name="P249"/>
      <w:bookmarkEnd w:id="9"/>
      <w:r>
        <w:t xml:space="preserve">4.4. Качество сварных швов проверяют визуально в соответствии с </w:t>
      </w:r>
      <w:hyperlink r:id="rId52" w:history="1">
        <w:r>
          <w:rPr>
            <w:color w:val="0000FF"/>
          </w:rPr>
          <w:t>ГОСТ 3242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bookmarkStart w:id="10" w:name="P250"/>
      <w:bookmarkEnd w:id="10"/>
      <w:r>
        <w:t xml:space="preserve">4.5. Качество окраски определяют визуально в соответствии с </w:t>
      </w:r>
      <w:hyperlink r:id="rId53" w:history="1">
        <w:r>
          <w:rPr>
            <w:color w:val="0000FF"/>
          </w:rPr>
          <w:t>ГОСТ 9.032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5. ТРАНСПОРТИРОВАНИЕ И ХРАНЕНИЕ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r>
        <w:t>5.1. Транспортирование средств подмащивания следует производить транспортом любого вида, обеспечивающим их сохранность (от механических повреждений, повреждения окраски, загрязнения и т.п.).</w:t>
      </w:r>
    </w:p>
    <w:p w:rsidR="00FF317A" w:rsidRDefault="00FF317A">
      <w:pPr>
        <w:pStyle w:val="ConsPlusNormal"/>
        <w:ind w:firstLine="540"/>
        <w:jc w:val="both"/>
      </w:pPr>
      <w:bookmarkStart w:id="11" w:name="P255"/>
      <w:bookmarkEnd w:id="11"/>
      <w:r>
        <w:lastRenderedPageBreak/>
        <w:t xml:space="preserve">5.2. Средства подмащивания должны храниться в соответствии с условиями хранения 5 по </w:t>
      </w:r>
      <w:hyperlink r:id="rId54" w:history="1">
        <w:r>
          <w:rPr>
            <w:color w:val="0000FF"/>
          </w:rPr>
          <w:t>ГОСТ 15150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6. УКАЗАНИЯ ПО ЭКСПЛУАТАЦИИ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bookmarkStart w:id="12" w:name="P259"/>
      <w:bookmarkEnd w:id="12"/>
      <w:r>
        <w:t xml:space="preserve">6.1. Средства подмащивания следует эксплуатировать в соответствии с инструкцией, прилагаемой к изделию, и </w:t>
      </w:r>
      <w:hyperlink r:id="rId55" w:history="1">
        <w:r>
          <w:rPr>
            <w:color w:val="0000FF"/>
          </w:rPr>
          <w:t>СНиП III-4-80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r>
        <w:t xml:space="preserve">6.2. Средства подмащивания должны быть зарегистрированы в журнале учета в соответствии с </w:t>
      </w:r>
      <w:hyperlink w:anchor="P402" w:history="1">
        <w:r>
          <w:rPr>
            <w:color w:val="0000FF"/>
          </w:rPr>
          <w:t>Приложением 3</w:t>
        </w:r>
      </w:hyperlink>
      <w:r>
        <w:t>, который должен храниться на каждом строительном объекте.</w:t>
      </w:r>
    </w:p>
    <w:p w:rsidR="00FF317A" w:rsidRDefault="00FF317A">
      <w:pPr>
        <w:pStyle w:val="ConsPlusNormal"/>
        <w:ind w:firstLine="540"/>
        <w:jc w:val="both"/>
      </w:pPr>
      <w:r>
        <w:t>Регистрационный номер должен быть нанесен на видном месте на элемент конструкции средства подмащивания или на прикрепленной к нему табличке.</w:t>
      </w:r>
    </w:p>
    <w:p w:rsidR="00FF317A" w:rsidRDefault="00FF317A">
      <w:pPr>
        <w:pStyle w:val="ConsPlusNormal"/>
        <w:ind w:firstLine="540"/>
        <w:jc w:val="both"/>
      </w:pPr>
      <w:r>
        <w:t xml:space="preserve">6.3. Результаты проведения приемки в эксплуатацию и периодических осмотров средств подмащивания должны быть отражены в журнале в соответствии с </w:t>
      </w:r>
      <w:hyperlink w:anchor="P402" w:history="1">
        <w:r>
          <w:rPr>
            <w:color w:val="0000FF"/>
          </w:rPr>
          <w:t>Приложением 3</w:t>
        </w:r>
      </w:hyperlink>
      <w:r>
        <w:t>.</w:t>
      </w:r>
    </w:p>
    <w:p w:rsidR="00FF317A" w:rsidRDefault="00FF317A">
      <w:pPr>
        <w:pStyle w:val="ConsPlusNormal"/>
        <w:ind w:firstLine="540"/>
        <w:jc w:val="both"/>
      </w:pPr>
      <w:r>
        <w:t>Сроки проведения периодических осмотров указывают в стандартах или технических условиях на средства подмащивания конкретного типа.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7. ГАРАНТИИ ИЗГОТОВИТЕЛЯ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  <w:r>
        <w:t>7.1. Изготовитель должен гарантировать соответствие средств подмащивания требованиям настоящего стандарта, стандартам или техническим условиям на конкретные типы средств подмащивания.</w:t>
      </w:r>
    </w:p>
    <w:p w:rsidR="00FF317A" w:rsidRDefault="00FF317A">
      <w:pPr>
        <w:pStyle w:val="ConsPlusNormal"/>
        <w:ind w:firstLine="540"/>
        <w:jc w:val="both"/>
      </w:pPr>
      <w:r>
        <w:t>7.2. Гарантийный срок эксплуатации - не менее 12 мес со дня начала эксплуатации, при условии соблюдения потребителем правил эксплуатации, транспортирования и хранения, установленных настоящим стандартом.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right"/>
      </w:pPr>
      <w:r>
        <w:t>Приложение 1</w:t>
      </w:r>
    </w:p>
    <w:p w:rsidR="00FF317A" w:rsidRDefault="00FF317A">
      <w:pPr>
        <w:pStyle w:val="ConsPlusNormal"/>
        <w:jc w:val="right"/>
      </w:pPr>
      <w:r>
        <w:t>Справочное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bookmarkStart w:id="13" w:name="P277"/>
      <w:bookmarkEnd w:id="13"/>
      <w:r>
        <w:t>ТЕРМИНЫ И ПОЯСНЕНИЯ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──────────────────────────┬─────────────────────────────────────────────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         Термин         │                  Пояснение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──────────────────────────┼─────────────────────────────────────────────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Средства подмащивания   │  Устройства, предназначенные для организации</w:t>
      </w:r>
    </w:p>
    <w:p w:rsidR="00FF317A" w:rsidRDefault="00FF317A">
      <w:pPr>
        <w:pStyle w:val="ConsPlusCell"/>
        <w:jc w:val="both"/>
      </w:pPr>
      <w:r>
        <w:t xml:space="preserve">                          │рабочих мест при производстве строительно-</w:t>
      </w:r>
    </w:p>
    <w:p w:rsidR="00FF317A" w:rsidRDefault="00FF317A">
      <w:pPr>
        <w:pStyle w:val="ConsPlusCell"/>
        <w:jc w:val="both"/>
      </w:pPr>
      <w:r>
        <w:t xml:space="preserve">                          │монтажных работ на высоте или глубине более</w:t>
      </w:r>
    </w:p>
    <w:p w:rsidR="00FF317A" w:rsidRDefault="00FF317A">
      <w:pPr>
        <w:pStyle w:val="ConsPlusCell"/>
        <w:jc w:val="both"/>
      </w:pPr>
      <w:r>
        <w:t xml:space="preserve">                          │1,3 м от уровня земли или перекрытия</w:t>
      </w:r>
    </w:p>
    <w:p w:rsidR="00FF317A" w:rsidRDefault="00FF317A">
      <w:pPr>
        <w:pStyle w:val="ConsPlusCell"/>
        <w:jc w:val="both"/>
      </w:pPr>
      <w:r>
        <w:t xml:space="preserve">  Свободностоящие средства│  Устройства, обладающие собственной</w:t>
      </w:r>
    </w:p>
    <w:p w:rsidR="00FF317A" w:rsidRDefault="00FF317A">
      <w:pPr>
        <w:pStyle w:val="ConsPlusCell"/>
        <w:jc w:val="both"/>
      </w:pPr>
      <w:r>
        <w:t>подмащивания              │устойчивостью в рабочем положении и не</w:t>
      </w:r>
    </w:p>
    <w:p w:rsidR="00FF317A" w:rsidRDefault="00FF317A">
      <w:pPr>
        <w:pStyle w:val="ConsPlusCell"/>
        <w:jc w:val="both"/>
      </w:pPr>
      <w:r>
        <w:t xml:space="preserve">                          │требующие их крепления к несущим</w:t>
      </w:r>
    </w:p>
    <w:p w:rsidR="00FF317A" w:rsidRDefault="00FF317A">
      <w:pPr>
        <w:pStyle w:val="ConsPlusCell"/>
        <w:jc w:val="both"/>
      </w:pPr>
      <w:r>
        <w:t xml:space="preserve">                          │конструкциям зданий и сооружений</w:t>
      </w:r>
    </w:p>
    <w:p w:rsidR="00FF317A" w:rsidRDefault="00FF317A">
      <w:pPr>
        <w:pStyle w:val="ConsPlusCell"/>
        <w:jc w:val="both"/>
      </w:pPr>
      <w:r>
        <w:t xml:space="preserve">  Приставные средства     │  Устройства, устойчивое положение которых</w:t>
      </w:r>
    </w:p>
    <w:p w:rsidR="00FF317A" w:rsidRDefault="00FF317A">
      <w:pPr>
        <w:pStyle w:val="ConsPlusCell"/>
        <w:jc w:val="both"/>
      </w:pPr>
      <w:r>
        <w:t>подмащивания              │обеспечивается креплением их к конструкциям</w:t>
      </w:r>
    </w:p>
    <w:p w:rsidR="00FF317A" w:rsidRDefault="00FF317A">
      <w:pPr>
        <w:pStyle w:val="ConsPlusCell"/>
        <w:jc w:val="both"/>
      </w:pPr>
      <w:r>
        <w:t xml:space="preserve">                          │зданий и сооружений</w:t>
      </w:r>
    </w:p>
    <w:p w:rsidR="00FF317A" w:rsidRDefault="00FF317A">
      <w:pPr>
        <w:pStyle w:val="ConsPlusCell"/>
        <w:jc w:val="both"/>
      </w:pPr>
      <w:r>
        <w:t xml:space="preserve">  Переставные средства    │  Устройства, перемещаемые вдоль фронта работ</w:t>
      </w:r>
    </w:p>
    <w:p w:rsidR="00FF317A" w:rsidRDefault="00FF317A">
      <w:pPr>
        <w:pStyle w:val="ConsPlusCell"/>
        <w:jc w:val="both"/>
      </w:pPr>
      <w:r>
        <w:t>подмащивания              │путем перестановки их краном или вручную (в</w:t>
      </w:r>
    </w:p>
    <w:p w:rsidR="00FF317A" w:rsidRDefault="00FF317A">
      <w:pPr>
        <w:pStyle w:val="ConsPlusCell"/>
        <w:jc w:val="both"/>
      </w:pPr>
      <w:r>
        <w:t xml:space="preserve">                          │т.ч. с частичной или полной разборкой и</w:t>
      </w:r>
    </w:p>
    <w:p w:rsidR="00FF317A" w:rsidRDefault="00FF317A">
      <w:pPr>
        <w:pStyle w:val="ConsPlusCell"/>
        <w:jc w:val="both"/>
      </w:pPr>
      <w:r>
        <w:t xml:space="preserve">                          │последующей сборкой)</w:t>
      </w:r>
    </w:p>
    <w:p w:rsidR="00FF317A" w:rsidRDefault="00FF317A">
      <w:pPr>
        <w:pStyle w:val="ConsPlusCell"/>
        <w:jc w:val="both"/>
      </w:pPr>
      <w:r>
        <w:t xml:space="preserve">  Передвижные средства    │  Устройства, перемещаемые вдоль фронта работ</w:t>
      </w:r>
    </w:p>
    <w:p w:rsidR="00FF317A" w:rsidRDefault="00FF317A">
      <w:pPr>
        <w:pStyle w:val="ConsPlusCell"/>
        <w:jc w:val="both"/>
      </w:pPr>
      <w:r>
        <w:t>подмащивания              │передвижением на колесных опорах</w:t>
      </w:r>
    </w:p>
    <w:p w:rsidR="00FF317A" w:rsidRDefault="00FF317A">
      <w:pPr>
        <w:pStyle w:val="ConsPlusCell"/>
        <w:jc w:val="both"/>
      </w:pPr>
      <w:r>
        <w:t xml:space="preserve">  Подвесные средства      │  Устройства, прикрепляемые к конструкциям</w:t>
      </w:r>
    </w:p>
    <w:p w:rsidR="00FF317A" w:rsidRDefault="00FF317A">
      <w:pPr>
        <w:pStyle w:val="ConsPlusCell"/>
        <w:jc w:val="both"/>
      </w:pPr>
      <w:r>
        <w:t>подмащивания              │зданий и сооружений гибкими подвесками</w:t>
      </w:r>
    </w:p>
    <w:p w:rsidR="00FF317A" w:rsidRDefault="00FF317A">
      <w:pPr>
        <w:pStyle w:val="ConsPlusCell"/>
        <w:jc w:val="both"/>
      </w:pPr>
      <w:r>
        <w:t xml:space="preserve">  Навесные средства       │  Устройства, неподвижно прикрепляемые к</w:t>
      </w:r>
    </w:p>
    <w:p w:rsidR="00FF317A" w:rsidRDefault="00FF317A">
      <w:pPr>
        <w:pStyle w:val="ConsPlusCell"/>
        <w:jc w:val="both"/>
      </w:pPr>
      <w:r>
        <w:t>подмащивания              │конструкциям зданий и сооружений</w:t>
      </w:r>
    </w:p>
    <w:p w:rsidR="00FF317A" w:rsidRDefault="00FF317A">
      <w:pPr>
        <w:pStyle w:val="ConsPlusCell"/>
        <w:jc w:val="both"/>
      </w:pPr>
      <w:r>
        <w:t xml:space="preserve">                          │специальными деталями</w:t>
      </w:r>
    </w:p>
    <w:p w:rsidR="00FF317A" w:rsidRDefault="00FF317A">
      <w:pPr>
        <w:pStyle w:val="ConsPlusCell"/>
        <w:jc w:val="both"/>
      </w:pPr>
      <w:r>
        <w:t xml:space="preserve">  Леса                    │  Многоярусная конструкция, предназначенная</w:t>
      </w:r>
    </w:p>
    <w:p w:rsidR="00FF317A" w:rsidRDefault="00FF317A">
      <w:pPr>
        <w:pStyle w:val="ConsPlusCell"/>
        <w:jc w:val="both"/>
      </w:pPr>
      <w:r>
        <w:t xml:space="preserve">                          │для организации рабочих мест на разных</w:t>
      </w:r>
    </w:p>
    <w:p w:rsidR="00FF317A" w:rsidRDefault="00FF317A">
      <w:pPr>
        <w:pStyle w:val="ConsPlusCell"/>
        <w:jc w:val="both"/>
      </w:pPr>
      <w:r>
        <w:t xml:space="preserve">                          │горизонтах</w:t>
      </w:r>
    </w:p>
    <w:p w:rsidR="00FF317A" w:rsidRDefault="00FF317A">
      <w:pPr>
        <w:pStyle w:val="ConsPlusCell"/>
        <w:jc w:val="both"/>
      </w:pPr>
      <w:r>
        <w:t xml:space="preserve">  Подмости                │  Одноярусная конструкция, предназначенная</w:t>
      </w:r>
    </w:p>
    <w:p w:rsidR="00FF317A" w:rsidRDefault="00FF317A">
      <w:pPr>
        <w:pStyle w:val="ConsPlusCell"/>
        <w:jc w:val="both"/>
      </w:pPr>
      <w:r>
        <w:t xml:space="preserve">                          │для выполнения работ, требующих перемещения</w:t>
      </w:r>
    </w:p>
    <w:p w:rsidR="00FF317A" w:rsidRDefault="00FF317A">
      <w:pPr>
        <w:pStyle w:val="ConsPlusCell"/>
        <w:jc w:val="both"/>
      </w:pPr>
      <w:r>
        <w:lastRenderedPageBreak/>
        <w:t xml:space="preserve">                          │рабочих мест по фронту работ</w:t>
      </w:r>
    </w:p>
    <w:p w:rsidR="00FF317A" w:rsidRDefault="00FF317A">
      <w:pPr>
        <w:pStyle w:val="ConsPlusCell"/>
        <w:jc w:val="both"/>
      </w:pPr>
      <w:r>
        <w:t xml:space="preserve">  Вышка                   │  Передвижная конструкция, предназначенная</w:t>
      </w:r>
    </w:p>
    <w:p w:rsidR="00FF317A" w:rsidRDefault="00FF317A">
      <w:pPr>
        <w:pStyle w:val="ConsPlusCell"/>
        <w:jc w:val="both"/>
      </w:pPr>
      <w:r>
        <w:t xml:space="preserve">                          │для кратковременных работ на высоте</w:t>
      </w:r>
    </w:p>
    <w:p w:rsidR="00FF317A" w:rsidRDefault="00FF317A">
      <w:pPr>
        <w:pStyle w:val="ConsPlusCell"/>
        <w:jc w:val="both"/>
      </w:pPr>
      <w:r>
        <w:t xml:space="preserve">  Люлька                  │  Подвесная конструкция с рабочим местом,</w:t>
      </w:r>
    </w:p>
    <w:p w:rsidR="00FF317A" w:rsidRDefault="00FF317A">
      <w:pPr>
        <w:pStyle w:val="ConsPlusCell"/>
        <w:jc w:val="both"/>
      </w:pPr>
      <w:r>
        <w:t xml:space="preserve">                          │перемещаемым по высоте</w:t>
      </w:r>
    </w:p>
    <w:p w:rsidR="00FF317A" w:rsidRDefault="00FF317A">
      <w:pPr>
        <w:pStyle w:val="ConsPlusCell"/>
        <w:jc w:val="both"/>
      </w:pPr>
      <w:r>
        <w:t xml:space="preserve">  Площадка                │  Навесная конструкция, предназначенная для</w:t>
      </w:r>
    </w:p>
    <w:p w:rsidR="00FF317A" w:rsidRDefault="00FF317A">
      <w:pPr>
        <w:pStyle w:val="ConsPlusCell"/>
        <w:jc w:val="both"/>
      </w:pPr>
      <w:r>
        <w:t xml:space="preserve">                          │образования рабочего места непосредственно</w:t>
      </w:r>
    </w:p>
    <w:p w:rsidR="00FF317A" w:rsidRDefault="00FF317A">
      <w:pPr>
        <w:pStyle w:val="ConsPlusCell"/>
        <w:jc w:val="both"/>
      </w:pPr>
      <w:r>
        <w:t xml:space="preserve">                          │в зоне производства работ</w:t>
      </w:r>
    </w:p>
    <w:p w:rsidR="00FF317A" w:rsidRDefault="00FF317A">
      <w:pPr>
        <w:pStyle w:val="ConsPlusCell"/>
        <w:jc w:val="both"/>
      </w:pPr>
      <w:r>
        <w:t xml:space="preserve">  Лестница                │  Конструкция, предназначенная для</w:t>
      </w:r>
    </w:p>
    <w:p w:rsidR="00FF317A" w:rsidRDefault="00FF317A">
      <w:pPr>
        <w:pStyle w:val="ConsPlusCell"/>
        <w:jc w:val="both"/>
      </w:pPr>
      <w:r>
        <w:t xml:space="preserve">                          │перемещения людей по высоте и создания</w:t>
      </w:r>
    </w:p>
    <w:p w:rsidR="00FF317A" w:rsidRDefault="00FF317A">
      <w:pPr>
        <w:pStyle w:val="ConsPlusCell"/>
        <w:jc w:val="both"/>
      </w:pPr>
      <w:r>
        <w:t xml:space="preserve">                          │кратковременных рабочих мест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right"/>
      </w:pPr>
      <w:r>
        <w:t>Приложение 2</w:t>
      </w:r>
    </w:p>
    <w:p w:rsidR="00FF317A" w:rsidRDefault="00FF317A">
      <w:pPr>
        <w:pStyle w:val="ConsPlusNormal"/>
        <w:jc w:val="right"/>
      </w:pPr>
      <w:r>
        <w:t>Обязательное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bookmarkStart w:id="14" w:name="P328"/>
      <w:bookmarkEnd w:id="14"/>
      <w:r>
        <w:t>ПАСПОРТ</w:t>
      </w:r>
    </w:p>
    <w:p w:rsidR="00FF317A" w:rsidRDefault="00FF317A">
      <w:pPr>
        <w:pStyle w:val="ConsPlusNormal"/>
        <w:jc w:val="center"/>
      </w:pPr>
      <w:r>
        <w:t>на средства подмащивания конкретного типа</w:t>
      </w:r>
    </w:p>
    <w:p w:rsidR="00FF317A" w:rsidRDefault="00FF317A">
      <w:pPr>
        <w:pStyle w:val="ConsPlusNormal"/>
        <w:jc w:val="center"/>
      </w:pPr>
      <w:r>
        <w:t>(Форма)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nformat"/>
        <w:jc w:val="both"/>
      </w:pPr>
      <w:r>
        <w:t xml:space="preserve">    1. Общие данные ______________________________________________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Наименование _________________________________________________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Организация-разработчик 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Шифр проекта _________________________________________________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Предприятие (организация)-изготовитель 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Дата изготовления ____________________________________________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Допускаемая температура окружающей  среды, °С  (минимальная  и</w:t>
      </w:r>
    </w:p>
    <w:p w:rsidR="00FF317A" w:rsidRDefault="00FF317A">
      <w:pPr>
        <w:pStyle w:val="ConsPlusNonformat"/>
        <w:jc w:val="both"/>
      </w:pPr>
      <w:r>
        <w:t>максимальная) ____________________________________________________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Нормы проектирования (СНиП; РТМ и др.) 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Нормы изготовления (ГОСТ, СНиП и др.) 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2. Характеристика и основные технические данные 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Нормативная нагрузка, Н (кгс) ________________________________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Максимальная высота (подъема, установки), м __________________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Масса, кг ____________________________________________________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3. Данные о материале несущих (расчетных) элементов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>───────────────────┬────────────┬───────────────┬─────────────────</w:t>
      </w:r>
    </w:p>
    <w:p w:rsidR="00FF317A" w:rsidRDefault="00FF317A">
      <w:pPr>
        <w:pStyle w:val="ConsPlusNonformat"/>
        <w:jc w:val="both"/>
      </w:pPr>
      <w:r>
        <w:t xml:space="preserve">    Наименование   │  Материал  │Марка материала│Обозначение НТД</w:t>
      </w:r>
    </w:p>
    <w:p w:rsidR="00FF317A" w:rsidRDefault="00FF317A">
      <w:pPr>
        <w:pStyle w:val="ConsPlusNonformat"/>
        <w:jc w:val="both"/>
      </w:pPr>
      <w:r>
        <w:t>элементов и деталей│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───────────────────┼────────────┼───────────────┼─────────────────</w:t>
      </w:r>
    </w:p>
    <w:p w:rsidR="00FF317A" w:rsidRDefault="00FF317A">
      <w:pPr>
        <w:pStyle w:val="ConsPlusNonformat"/>
        <w:jc w:val="both"/>
      </w:pPr>
      <w:r>
        <w:t xml:space="preserve">                   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───────────────────┼────────────┼───────────────┼─────────────────</w:t>
      </w:r>
    </w:p>
    <w:p w:rsidR="00FF317A" w:rsidRDefault="00FF317A">
      <w:pPr>
        <w:pStyle w:val="ConsPlusNonformat"/>
        <w:jc w:val="both"/>
      </w:pPr>
      <w:r>
        <w:t xml:space="preserve">                   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───────────────────┼────────────┼───────────────┼─────────────────</w:t>
      </w:r>
    </w:p>
    <w:p w:rsidR="00FF317A" w:rsidRDefault="00FF317A">
      <w:pPr>
        <w:pStyle w:val="ConsPlusNonformat"/>
        <w:jc w:val="both"/>
      </w:pPr>
      <w:r>
        <w:t xml:space="preserve">                   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───────────────────┼────────────┼───────────────┼─────────────────</w:t>
      </w:r>
    </w:p>
    <w:p w:rsidR="00FF317A" w:rsidRDefault="00FF317A">
      <w:pPr>
        <w:pStyle w:val="ConsPlusNonformat"/>
        <w:jc w:val="both"/>
      </w:pPr>
      <w:r>
        <w:t xml:space="preserve">                   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───────────────────┼────────────┼───────────────┼─────────────────</w:t>
      </w:r>
    </w:p>
    <w:p w:rsidR="00FF317A" w:rsidRDefault="00FF317A">
      <w:pPr>
        <w:pStyle w:val="ConsPlusNonformat"/>
        <w:jc w:val="both"/>
      </w:pPr>
      <w:r>
        <w:lastRenderedPageBreak/>
        <w:t xml:space="preserve">                   │            │               │</w:t>
      </w:r>
    </w:p>
    <w:p w:rsidR="00FF317A" w:rsidRDefault="00FF317A">
      <w:pPr>
        <w:pStyle w:val="ConsPlusNonformat"/>
        <w:jc w:val="both"/>
      </w:pPr>
      <w:r>
        <w:t>───────────────────┴────────────┴───────────────┴─────────────────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Изготовитель удостоверяет следующее:</w:t>
      </w:r>
    </w:p>
    <w:p w:rsidR="00FF317A" w:rsidRDefault="00FF317A">
      <w:pPr>
        <w:pStyle w:val="ConsPlusNonformat"/>
        <w:jc w:val="both"/>
      </w:pPr>
      <w:r>
        <w:t xml:space="preserve">    1. ________________________  соответствует рабочим чертежам  и</w:t>
      </w:r>
    </w:p>
    <w:p w:rsidR="00FF317A" w:rsidRDefault="00FF317A">
      <w:pPr>
        <w:pStyle w:val="ConsPlusNonformat"/>
        <w:jc w:val="both"/>
      </w:pPr>
      <w:r>
        <w:t xml:space="preserve">         наименование изделия</w:t>
      </w:r>
    </w:p>
    <w:p w:rsidR="00FF317A" w:rsidRDefault="00FF317A">
      <w:pPr>
        <w:pStyle w:val="ConsPlusNonformat"/>
        <w:jc w:val="both"/>
      </w:pPr>
      <w:r>
        <w:t>ГОСТ ____________</w:t>
      </w:r>
    </w:p>
    <w:p w:rsidR="00FF317A" w:rsidRDefault="00FF317A">
      <w:pPr>
        <w:pStyle w:val="ConsPlusNonformat"/>
        <w:jc w:val="both"/>
      </w:pPr>
      <w:r>
        <w:t xml:space="preserve">    2. Проведены испытания статической нагрузкой ____________ кгс.</w:t>
      </w:r>
    </w:p>
    <w:p w:rsidR="00FF317A" w:rsidRDefault="00FF317A">
      <w:pPr>
        <w:pStyle w:val="ConsPlusNonformat"/>
        <w:jc w:val="both"/>
      </w:pPr>
      <w:r>
        <w:t xml:space="preserve">    Продолжительность испытания _____________________________ мин.</w:t>
      </w:r>
    </w:p>
    <w:p w:rsidR="00FF317A" w:rsidRDefault="00FF317A">
      <w:pPr>
        <w:pStyle w:val="ConsPlusNonformat"/>
        <w:jc w:val="both"/>
      </w:pPr>
      <w:r>
        <w:t xml:space="preserve">    3. ______________________________ признаны годными для работы.</w:t>
      </w:r>
    </w:p>
    <w:p w:rsidR="00FF317A" w:rsidRDefault="00FF317A">
      <w:pPr>
        <w:pStyle w:val="ConsPlusNonformat"/>
        <w:jc w:val="both"/>
      </w:pPr>
      <w:r>
        <w:t xml:space="preserve">            наименование изделия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Гл. инженер   ______________</w:t>
      </w:r>
    </w:p>
    <w:p w:rsidR="00FF317A" w:rsidRDefault="00FF317A">
      <w:pPr>
        <w:pStyle w:val="ConsPlusNonformat"/>
        <w:jc w:val="both"/>
      </w:pPr>
      <w:r>
        <w:t xml:space="preserve">                    подпись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Начальник ОТК ______________</w:t>
      </w:r>
    </w:p>
    <w:p w:rsidR="00FF317A" w:rsidRDefault="00FF317A">
      <w:pPr>
        <w:pStyle w:val="ConsPlusNonformat"/>
        <w:jc w:val="both"/>
      </w:pPr>
      <w:r>
        <w:t xml:space="preserve">                      подпись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             М. П.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             Дата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right"/>
      </w:pPr>
      <w:r>
        <w:t>Приложение 3</w:t>
      </w:r>
    </w:p>
    <w:p w:rsidR="00FF317A" w:rsidRDefault="00FF317A">
      <w:pPr>
        <w:pStyle w:val="ConsPlusNormal"/>
        <w:jc w:val="right"/>
      </w:pPr>
      <w:r>
        <w:t>Обязательное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bookmarkStart w:id="15" w:name="P402"/>
      <w:bookmarkEnd w:id="15"/>
      <w:r>
        <w:t>ФОРМА ОБЛОЖКИ ЖУРНАЛА УЧЕТА</w:t>
      </w:r>
    </w:p>
    <w:p w:rsidR="00FF317A" w:rsidRDefault="00FF317A">
      <w:pPr>
        <w:pStyle w:val="ConsPlusNormal"/>
        <w:jc w:val="center"/>
      </w:pPr>
      <w:r>
        <w:t>СРЕДСТВ ПОДМАЩИВАНИЯ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ЖУРНАЛ</w:t>
      </w:r>
    </w:p>
    <w:p w:rsidR="00FF317A" w:rsidRDefault="00FF317A">
      <w:pPr>
        <w:pStyle w:val="ConsPlusNormal"/>
        <w:jc w:val="center"/>
      </w:pPr>
      <w:r>
        <w:t>учета средств подмащивания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            наименование строительно-монтажной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               организации и ее подчиненность</w:t>
      </w:r>
    </w:p>
    <w:p w:rsidR="00FF317A" w:rsidRDefault="00FF317A">
      <w:pPr>
        <w:pStyle w:val="ConsPlusNonformat"/>
        <w:jc w:val="both"/>
      </w:pPr>
    </w:p>
    <w:p w:rsidR="00FF317A" w:rsidRDefault="00FF317A">
      <w:pPr>
        <w:pStyle w:val="ConsPlusNonformat"/>
        <w:jc w:val="both"/>
      </w:pPr>
      <w:r>
        <w:t xml:space="preserve">    Лицо, ответственное за ведение журнала</w:t>
      </w:r>
    </w:p>
    <w:p w:rsidR="00FF317A" w:rsidRDefault="00FF317A">
      <w:pPr>
        <w:pStyle w:val="ConsPlusNonformat"/>
        <w:jc w:val="both"/>
      </w:pPr>
      <w:r>
        <w:t>__________________________________________________________________</w:t>
      </w:r>
    </w:p>
    <w:p w:rsidR="00FF317A" w:rsidRDefault="00FF317A">
      <w:pPr>
        <w:pStyle w:val="ConsPlusNonformat"/>
        <w:jc w:val="both"/>
      </w:pPr>
      <w:r>
        <w:t xml:space="preserve">                 должность, фамилия, имя, отчество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ФОРМА СТРАНИЦ ЖУРНАЛА УЧЕТА СРЕДСТВ ПОДМАЩИВАНИЯ</w:t>
      </w: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jc w:val="center"/>
      </w:pPr>
      <w:r>
        <w:t>Характеристика средства подмащивания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───────────────────────┬───────────────────────┬─────────────────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 Тип и назначение.   │   Инвентарный номер   │    Основная</w:t>
      </w:r>
    </w:p>
    <w:p w:rsidR="00FF317A" w:rsidRDefault="00FF317A">
      <w:pPr>
        <w:pStyle w:val="ConsPlusCell"/>
        <w:jc w:val="both"/>
      </w:pPr>
      <w:r>
        <w:t xml:space="preserve">       Марка           │                       │  характеристика</w:t>
      </w:r>
    </w:p>
    <w:p w:rsidR="00FF317A" w:rsidRDefault="00FF317A">
      <w:pPr>
        <w:pStyle w:val="ConsPlusCell"/>
        <w:jc w:val="both"/>
      </w:pPr>
      <w:r>
        <w:t>───────────────────────┼───────────────────────┼─────────────────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                     │                       │</w:t>
      </w:r>
    </w:p>
    <w:p w:rsidR="00FF317A" w:rsidRDefault="00FF317A">
      <w:pPr>
        <w:pStyle w:val="ConsPlusCell"/>
        <w:jc w:val="both"/>
      </w:pPr>
    </w:p>
    <w:p w:rsidR="00FF317A" w:rsidRDefault="00FF317A">
      <w:pPr>
        <w:pStyle w:val="ConsPlusCell"/>
        <w:jc w:val="both"/>
      </w:pPr>
      <w:r>
        <w:t>────────────┬─────────────────┬───────────┬──────────────────────</w:t>
      </w:r>
    </w:p>
    <w:p w:rsidR="00FF317A" w:rsidRDefault="00FF317A">
      <w:pPr>
        <w:pStyle w:val="ConsPlusCell"/>
        <w:jc w:val="both"/>
      </w:pPr>
      <w:r>
        <w:t>Предприятие-│Минимальная      │ Масса, кг │Наименование проектной</w:t>
      </w:r>
    </w:p>
    <w:p w:rsidR="00FF317A" w:rsidRDefault="00FF317A">
      <w:pPr>
        <w:pStyle w:val="ConsPlusCell"/>
        <w:jc w:val="both"/>
      </w:pPr>
      <w:r>
        <w:t>изготовитель│рабочая темпе-   │           │  организации, номера</w:t>
      </w:r>
    </w:p>
    <w:p w:rsidR="00FF317A" w:rsidRDefault="00FF317A">
      <w:pPr>
        <w:pStyle w:val="ConsPlusCell"/>
        <w:jc w:val="both"/>
      </w:pPr>
      <w:r>
        <w:t xml:space="preserve">            │ратура эксплу-   │           │   рабочих чертежей</w:t>
      </w:r>
    </w:p>
    <w:p w:rsidR="00FF317A" w:rsidRDefault="00FF317A">
      <w:pPr>
        <w:pStyle w:val="ConsPlusCell"/>
        <w:jc w:val="both"/>
      </w:pPr>
      <w:r>
        <w:t xml:space="preserve">            │атации, °С       │           │</w:t>
      </w:r>
    </w:p>
    <w:p w:rsidR="00FF317A" w:rsidRDefault="00FF317A">
      <w:pPr>
        <w:pStyle w:val="ConsPlusCell"/>
        <w:jc w:val="both"/>
      </w:pPr>
      <w:r>
        <w:t>────────────┼─────────────────┼───────────┼──────────────────────</w:t>
      </w:r>
    </w:p>
    <w:p w:rsidR="00FF317A" w:rsidRDefault="00FF317A">
      <w:pPr>
        <w:pStyle w:val="ConsPlusCell"/>
        <w:jc w:val="both"/>
      </w:pPr>
      <w:r>
        <w:t xml:space="preserve">            │                 │           │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jc w:val="center"/>
      </w:pPr>
      <w:r>
        <w:t>Сведения о ремонтах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────────────┬───────────┬──────────┬─────────────┬───────────────</w:t>
      </w:r>
    </w:p>
    <w:p w:rsidR="00FF317A" w:rsidRDefault="00FF317A">
      <w:pPr>
        <w:pStyle w:val="ConsPlusCell"/>
        <w:jc w:val="both"/>
      </w:pPr>
      <w:r>
        <w:t xml:space="preserve">    Дата    │Инвентарный│Содержание│  Основание  │Фамилия, имя,</w:t>
      </w:r>
    </w:p>
    <w:p w:rsidR="00FF317A" w:rsidRDefault="00FF317A">
      <w:pPr>
        <w:pStyle w:val="ConsPlusCell"/>
        <w:jc w:val="both"/>
      </w:pPr>
      <w:r>
        <w:t xml:space="preserve">            │   номер   │  ремонта │  (номера    │  отчество,</w:t>
      </w:r>
    </w:p>
    <w:p w:rsidR="00FF317A" w:rsidRDefault="00FF317A">
      <w:pPr>
        <w:pStyle w:val="ConsPlusCell"/>
        <w:jc w:val="both"/>
      </w:pPr>
      <w:r>
        <w:t xml:space="preserve">            │           │          │  чертежей)  │должность лица,</w:t>
      </w:r>
    </w:p>
    <w:p w:rsidR="00FF317A" w:rsidRDefault="00FF317A">
      <w:pPr>
        <w:pStyle w:val="ConsPlusCell"/>
        <w:jc w:val="both"/>
      </w:pPr>
      <w:r>
        <w:t xml:space="preserve">            │           │          │             │ответственного</w:t>
      </w:r>
    </w:p>
    <w:p w:rsidR="00FF317A" w:rsidRDefault="00FF317A">
      <w:pPr>
        <w:pStyle w:val="ConsPlusCell"/>
        <w:jc w:val="both"/>
      </w:pPr>
      <w:r>
        <w:t xml:space="preserve">            │           │          │             │   за ремонт</w:t>
      </w:r>
    </w:p>
    <w:p w:rsidR="00FF317A" w:rsidRDefault="00FF317A">
      <w:pPr>
        <w:pStyle w:val="ConsPlusCell"/>
        <w:jc w:val="both"/>
      </w:pPr>
      <w:r>
        <w:t xml:space="preserve">            │           │          │             │</w:t>
      </w:r>
    </w:p>
    <w:p w:rsidR="00FF317A" w:rsidRDefault="00FF317A">
      <w:pPr>
        <w:pStyle w:val="ConsPlusCell"/>
        <w:jc w:val="both"/>
      </w:pPr>
      <w:r>
        <w:t>────────────┼───────────┼──────────┼─────────────┼───────────────</w:t>
      </w:r>
    </w:p>
    <w:p w:rsidR="00FF317A" w:rsidRDefault="00FF317A">
      <w:pPr>
        <w:pStyle w:val="ConsPlusCell"/>
        <w:jc w:val="both"/>
      </w:pPr>
      <w:r>
        <w:t xml:space="preserve">            │           │          │             │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jc w:val="center"/>
      </w:pPr>
      <w:r>
        <w:t>Данные о технических освидетельствованиях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Cell"/>
        <w:jc w:val="both"/>
      </w:pPr>
      <w:r>
        <w:t>───────────┬───────────────────┬───────────┬────────┬───────────┬───────</w:t>
      </w:r>
    </w:p>
    <w:p w:rsidR="00FF317A" w:rsidRDefault="00FF317A">
      <w:pPr>
        <w:pStyle w:val="ConsPlusCell"/>
        <w:jc w:val="both"/>
      </w:pPr>
      <w:r>
        <w:t>Регистраци-│Вид освидетельст-  │Результаты │Заключе-│Фамилия,   │Роспись</w:t>
      </w:r>
    </w:p>
    <w:p w:rsidR="00FF317A" w:rsidRDefault="00FF317A">
      <w:pPr>
        <w:pStyle w:val="ConsPlusCell"/>
        <w:jc w:val="both"/>
      </w:pPr>
      <w:r>
        <w:t>онный номер│вования            │освидетель-│ние о   │имя, отче- │</w:t>
      </w:r>
    </w:p>
    <w:p w:rsidR="00FF317A" w:rsidRDefault="00FF317A">
      <w:pPr>
        <w:pStyle w:val="ConsPlusCell"/>
        <w:jc w:val="both"/>
      </w:pPr>
      <w:r>
        <w:t>средства   ├───────┬───────────┤ствования  │пригод- │ство, долж-│</w:t>
      </w:r>
    </w:p>
    <w:p w:rsidR="00FF317A" w:rsidRDefault="00FF317A">
      <w:pPr>
        <w:pStyle w:val="ConsPlusCell"/>
        <w:jc w:val="both"/>
      </w:pPr>
      <w:r>
        <w:t>подмащи-   │Приемка│Периодичес-│           │ности к │ность лица,│</w:t>
      </w:r>
    </w:p>
    <w:p w:rsidR="00FF317A" w:rsidRDefault="00FF317A">
      <w:pPr>
        <w:pStyle w:val="ConsPlusCell"/>
        <w:jc w:val="both"/>
      </w:pPr>
      <w:r>
        <w:t>вания      │в экс- │кий осмотр │           │эксплу- │ответствен-│</w:t>
      </w:r>
    </w:p>
    <w:p w:rsidR="00FF317A" w:rsidRDefault="00FF317A">
      <w:pPr>
        <w:pStyle w:val="ConsPlusCell"/>
        <w:jc w:val="both"/>
      </w:pPr>
      <w:r>
        <w:t xml:space="preserve">           │плуата-│и его при- │           │атации  │ного и уча-│</w:t>
      </w:r>
    </w:p>
    <w:p w:rsidR="00FF317A" w:rsidRDefault="00FF317A">
      <w:pPr>
        <w:pStyle w:val="ConsPlusCell"/>
        <w:jc w:val="both"/>
      </w:pPr>
      <w:r>
        <w:t xml:space="preserve">           │цию    │чина (пла- │           │        │ствовавшего│</w:t>
      </w:r>
    </w:p>
    <w:p w:rsidR="00FF317A" w:rsidRDefault="00FF317A">
      <w:pPr>
        <w:pStyle w:val="ConsPlusCell"/>
        <w:jc w:val="both"/>
      </w:pPr>
      <w:r>
        <w:t xml:space="preserve">           │       │новые сро- │           │        │в освиде-  │</w:t>
      </w:r>
    </w:p>
    <w:p w:rsidR="00FF317A" w:rsidRDefault="00FF317A">
      <w:pPr>
        <w:pStyle w:val="ConsPlusCell"/>
        <w:jc w:val="both"/>
      </w:pPr>
      <w:r>
        <w:t xml:space="preserve">           │       │ки, после  │           │        │тельство-  │</w:t>
      </w:r>
    </w:p>
    <w:p w:rsidR="00FF317A" w:rsidRDefault="00FF317A">
      <w:pPr>
        <w:pStyle w:val="ConsPlusCell"/>
        <w:jc w:val="both"/>
      </w:pPr>
      <w:r>
        <w:t xml:space="preserve">           │       │ремонта и  │           │        │вании      │</w:t>
      </w:r>
    </w:p>
    <w:p w:rsidR="00FF317A" w:rsidRDefault="00FF317A">
      <w:pPr>
        <w:pStyle w:val="ConsPlusCell"/>
        <w:jc w:val="both"/>
      </w:pPr>
      <w:r>
        <w:t xml:space="preserve">           │       │т.п.)      │           │        │           │</w:t>
      </w:r>
    </w:p>
    <w:p w:rsidR="00FF317A" w:rsidRDefault="00FF317A">
      <w:pPr>
        <w:pStyle w:val="ConsPlusCell"/>
        <w:jc w:val="both"/>
      </w:pPr>
      <w:r>
        <w:t xml:space="preserve">           │       │           │           │        │           │</w:t>
      </w:r>
    </w:p>
    <w:p w:rsidR="00FF317A" w:rsidRDefault="00FF317A">
      <w:pPr>
        <w:pStyle w:val="ConsPlusCell"/>
        <w:jc w:val="both"/>
      </w:pPr>
      <w:r>
        <w:t>───────────┼───────┼───────────┼───────────┼────────┼───────────┼───────</w:t>
      </w:r>
    </w:p>
    <w:p w:rsidR="00FF317A" w:rsidRDefault="00FF317A">
      <w:pPr>
        <w:pStyle w:val="ConsPlusCell"/>
        <w:jc w:val="both"/>
      </w:pPr>
      <w:r>
        <w:t xml:space="preserve">     1     │   2   │     3     │     4     │    5   │      6    │   7</w:t>
      </w:r>
    </w:p>
    <w:p w:rsidR="00FF317A" w:rsidRDefault="00FF317A">
      <w:pPr>
        <w:pStyle w:val="ConsPlusCell"/>
        <w:jc w:val="both"/>
      </w:pPr>
      <w:r>
        <w:t>───────────┼───────┼───────────┼───────────┼────────┼───────────┼───────</w:t>
      </w:r>
    </w:p>
    <w:p w:rsidR="00FF317A" w:rsidRDefault="00FF317A">
      <w:pPr>
        <w:pStyle w:val="ConsPlusCell"/>
        <w:jc w:val="both"/>
      </w:pPr>
      <w:r>
        <w:t xml:space="preserve">           │       │           │           │        │           │</w:t>
      </w:r>
    </w:p>
    <w:p w:rsidR="00FF317A" w:rsidRDefault="00FF317A">
      <w:pPr>
        <w:pStyle w:val="ConsPlusNormal"/>
        <w:jc w:val="both"/>
      </w:pPr>
    </w:p>
    <w:p w:rsidR="00FF317A" w:rsidRDefault="00FF317A">
      <w:pPr>
        <w:pStyle w:val="ConsPlusNormal"/>
        <w:ind w:firstLine="540"/>
        <w:jc w:val="both"/>
      </w:pPr>
    </w:p>
    <w:p w:rsidR="00FF317A" w:rsidRDefault="00FF3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16" w:name="_GoBack"/>
      <w:bookmarkEnd w:id="16"/>
    </w:p>
    <w:sectPr w:rsidR="00CD3190" w:rsidSect="00D1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7A"/>
    <w:rsid w:val="0040085F"/>
    <w:rsid w:val="00CD3190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FF317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F317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F317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F317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31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FF317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F317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F317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F317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31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7DF53D5C6E25A4FEEC13C160D9243A5F67DE349A134C45CACDA231v1N" TargetMode="External"/><Relationship Id="rId18" Type="http://schemas.openxmlformats.org/officeDocument/2006/relationships/hyperlink" Target="consultantplus://offline/ref=AD7DF53D5C6E25A4FEEC13C160D9243A5661DD329A134C45CACDA231v1N" TargetMode="External"/><Relationship Id="rId26" Type="http://schemas.openxmlformats.org/officeDocument/2006/relationships/hyperlink" Target="consultantplus://offline/ref=AD7DF53D5C6E25A4FEEC0FC17CD9243A5F6BDF369A134C45CACDA231v1N" TargetMode="External"/><Relationship Id="rId39" Type="http://schemas.openxmlformats.org/officeDocument/2006/relationships/hyperlink" Target="consultantplus://offline/ref=AD7DF53D5C6E25A4FEEC13C160D9243A5364DE3DC719441CC6CF3Av5N" TargetMode="External"/><Relationship Id="rId21" Type="http://schemas.openxmlformats.org/officeDocument/2006/relationships/hyperlink" Target="consultantplus://offline/ref=AD7DF53D5C6E25A4FEEC13C160D9243A5462DB329A134C45CACDA231v1N" TargetMode="External"/><Relationship Id="rId34" Type="http://schemas.openxmlformats.org/officeDocument/2006/relationships/hyperlink" Target="consultantplus://offline/ref=AD7DF53D5C6E25A4FEEC13C160D9243A5662DA36984E464D93C1A0163Av4N" TargetMode="External"/><Relationship Id="rId42" Type="http://schemas.openxmlformats.org/officeDocument/2006/relationships/hyperlink" Target="consultantplus://offline/ref=AD7DF53D5C6E25A4FEEC13C160D9243A5660D930924E464D93C1A0163Av4N" TargetMode="External"/><Relationship Id="rId47" Type="http://schemas.openxmlformats.org/officeDocument/2006/relationships/hyperlink" Target="consultantplus://offline/ref=AD7DF53D5C6E25A4FEEC13C160D9243A5662DE33924E464D93C1A0163Av4N" TargetMode="External"/><Relationship Id="rId50" Type="http://schemas.openxmlformats.org/officeDocument/2006/relationships/hyperlink" Target="consultantplus://offline/ref=AD7DF53D5C6E25A4FEEC13C160D9243A5660DF3E954E464D93C1A0163Av4N" TargetMode="External"/><Relationship Id="rId55" Type="http://schemas.openxmlformats.org/officeDocument/2006/relationships/hyperlink" Target="consultantplus://offline/ref=AD7DF53D5C6E25A4FEEC13C160D9243A5E61DE369A134C45CACDA231v1N" TargetMode="External"/><Relationship Id="rId7" Type="http://schemas.openxmlformats.org/officeDocument/2006/relationships/hyperlink" Target="consultantplus://offline/ref=AD7DF53D5C6E25A4FEEC13C160D9243A5061DF339A134C45CACDA231v1N" TargetMode="External"/><Relationship Id="rId12" Type="http://schemas.openxmlformats.org/officeDocument/2006/relationships/hyperlink" Target="consultantplus://offline/ref=AD7DF53D5C6E25A4FEEC13C160D9243A5F63DC379A134C45CACDA231v1N" TargetMode="External"/><Relationship Id="rId17" Type="http://schemas.openxmlformats.org/officeDocument/2006/relationships/hyperlink" Target="consultantplus://offline/ref=AD7DF53D5C6E25A4FEEC13C160D9243A5263DF329A134C45CACDA231v1N" TargetMode="External"/><Relationship Id="rId25" Type="http://schemas.openxmlformats.org/officeDocument/2006/relationships/hyperlink" Target="consultantplus://offline/ref=AD7DF53D5C6E25A4FEEC13C160D9243A5660DF3E954E464D93C1A0163Av4N" TargetMode="External"/><Relationship Id="rId33" Type="http://schemas.openxmlformats.org/officeDocument/2006/relationships/hyperlink" Target="consultantplus://offline/ref=AD7DF53D5C6E25A4FEEC13C160D9243A5663D630904E464D93C1A0163Av4N" TargetMode="External"/><Relationship Id="rId38" Type="http://schemas.openxmlformats.org/officeDocument/2006/relationships/hyperlink" Target="consultantplus://offline/ref=AD7DF53D5C6E25A4FEEC13C160D9243A5E66DD319A134C45CACDA231v1N" TargetMode="External"/><Relationship Id="rId46" Type="http://schemas.openxmlformats.org/officeDocument/2006/relationships/hyperlink" Target="consultantplus://offline/ref=AD7DF53D5C6E25A4FEEC05CD62D9243A556BD73591411B479B98AC14A3B6CB472B761775F77506A33Cv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7DF53D5C6E25A4FEEC13C160D9243A5F61DA379A134C45CACDA231v1N" TargetMode="External"/><Relationship Id="rId20" Type="http://schemas.openxmlformats.org/officeDocument/2006/relationships/hyperlink" Target="consultantplus://offline/ref=AD7DF53D5C6E25A4FEEC13C160D9243A5F62DD3E9A134C45CACDA231v1N" TargetMode="External"/><Relationship Id="rId29" Type="http://schemas.openxmlformats.org/officeDocument/2006/relationships/hyperlink" Target="consultantplus://offline/ref=AD7DF53D5C6E25A4FEEC13C160D9243A5163D73DC719441CC6CF3Av5N" TargetMode="External"/><Relationship Id="rId41" Type="http://schemas.openxmlformats.org/officeDocument/2006/relationships/hyperlink" Target="consultantplus://offline/ref=AD7DF53D5C6E25A4FEEC13C160D9243A5F67DE349A134C45CACDA231v1N" TargetMode="External"/><Relationship Id="rId54" Type="http://schemas.openxmlformats.org/officeDocument/2006/relationships/hyperlink" Target="consultantplus://offline/ref=AD7DF53D5C6E25A4FEEC13C160D9243A5664DF3F954E464D93C1A0163Av4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AD7DF53D5C6E25A4FEEC0FC17CD9243A5664DF369A134C45CACDA231v1N" TargetMode="External"/><Relationship Id="rId24" Type="http://schemas.openxmlformats.org/officeDocument/2006/relationships/hyperlink" Target="consultantplus://offline/ref=AD7DF53D5C6E25A4FEEC13C160D9243A5664DF3F954E464D93C1A0163Av4N" TargetMode="External"/><Relationship Id="rId32" Type="http://schemas.openxmlformats.org/officeDocument/2006/relationships/hyperlink" Target="consultantplus://offline/ref=AD7DF53D5C6E25A4FEEC13C160D9243A5E61DE369A134C45CACDA231v1N" TargetMode="External"/><Relationship Id="rId37" Type="http://schemas.openxmlformats.org/officeDocument/2006/relationships/hyperlink" Target="consultantplus://offline/ref=AD7DF53D5C6E25A4FEEC13C160D9243A556BDD379A134C45CACDA231v1N" TargetMode="External"/><Relationship Id="rId40" Type="http://schemas.openxmlformats.org/officeDocument/2006/relationships/hyperlink" Target="consultantplus://offline/ref=AD7DF53D5C6E25A4FEEC13C160D9243A5163D73DC719441CC6CF3Av5N" TargetMode="External"/><Relationship Id="rId45" Type="http://schemas.openxmlformats.org/officeDocument/2006/relationships/hyperlink" Target="consultantplus://offline/ref=AD7DF53D5C6E25A4FEEC0CD465D9243A5363DF369A134C45CACDA231v1N" TargetMode="External"/><Relationship Id="rId53" Type="http://schemas.openxmlformats.org/officeDocument/2006/relationships/hyperlink" Target="consultantplus://offline/ref=AD7DF53D5C6E25A4FEEC13C160D9243A5F63DC379A134C45CACDA231v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7DF53D5C6E25A4FEEC13C160D9243A5663D630904E464D93C1A0163Av4N" TargetMode="External"/><Relationship Id="rId23" Type="http://schemas.openxmlformats.org/officeDocument/2006/relationships/hyperlink" Target="consultantplus://offline/ref=AD7DF53D5C6E25A4FEEC13C160D9243A5661DD36964E464D93C1A0163Av4N" TargetMode="External"/><Relationship Id="rId28" Type="http://schemas.openxmlformats.org/officeDocument/2006/relationships/hyperlink" Target="consultantplus://offline/ref=AD7DF53D5C6E25A4FEEC13C160D9243A5E66DD319A134C45CACDA231v1N" TargetMode="External"/><Relationship Id="rId36" Type="http://schemas.openxmlformats.org/officeDocument/2006/relationships/hyperlink" Target="consultantplus://offline/ref=AD7DF53D5C6E25A4FEEC13C160D9243A536BDD359A134C45CACDA231v1N" TargetMode="External"/><Relationship Id="rId49" Type="http://schemas.openxmlformats.org/officeDocument/2006/relationships/hyperlink" Target="consultantplus://offline/ref=AD7DF53D5C6E25A4FEEC0FC17CD9243A5664DF369A134C45CACDA231v1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D7DF53D5C6E25A4FEEC05CD62D9243A556BD73591411B479B98AC14A3B6CB472B761775F77506A33Cv5N" TargetMode="External"/><Relationship Id="rId19" Type="http://schemas.openxmlformats.org/officeDocument/2006/relationships/hyperlink" Target="consultantplus://offline/ref=AD7DF53D5C6E25A4FEEC13C160D9243A5662DE33924E464D93C1A0163Av4N" TargetMode="External"/><Relationship Id="rId31" Type="http://schemas.openxmlformats.org/officeDocument/2006/relationships/hyperlink" Target="consultantplus://offline/ref=AD7DF53D5C6E25A4FEEC13C160D9243A5364DE3DC719441CC6CF3Av5N" TargetMode="External"/><Relationship Id="rId44" Type="http://schemas.openxmlformats.org/officeDocument/2006/relationships/hyperlink" Target="consultantplus://offline/ref=AD7DF53D5C6E25A4FEEC13C160D9243A5F61DA379A134C45CACDA231v1N" TargetMode="External"/><Relationship Id="rId52" Type="http://schemas.openxmlformats.org/officeDocument/2006/relationships/hyperlink" Target="consultantplus://offline/ref=AD7DF53D5C6E25A4FEEC13C160D9243A5661DD329A134C45CACDA231v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DF53D5C6E25A4FEEC0CD465D9243A5363DF369A134C45CACDA231v1N" TargetMode="External"/><Relationship Id="rId14" Type="http://schemas.openxmlformats.org/officeDocument/2006/relationships/hyperlink" Target="consultantplus://offline/ref=AD7DF53D5C6E25A4FEEC13C160D9243A5660D930924E464D93C1A0163Av4N" TargetMode="External"/><Relationship Id="rId22" Type="http://schemas.openxmlformats.org/officeDocument/2006/relationships/hyperlink" Target="consultantplus://offline/ref=AD7DF53D5C6E25A4FEEC13C160D9243A5660DB379A134C45CACDA231v1N" TargetMode="External"/><Relationship Id="rId27" Type="http://schemas.openxmlformats.org/officeDocument/2006/relationships/hyperlink" Target="consultantplus://offline/ref=AD7DF53D5C6E25A4FEEC13C160D9243A536BDD359A134C45CACDA231v1N" TargetMode="External"/><Relationship Id="rId30" Type="http://schemas.openxmlformats.org/officeDocument/2006/relationships/hyperlink" Target="consultantplus://offline/ref=AD7DF53D5C6E25A4FEEC13C160D9243A556BDD379A134C45CACDA231v1N" TargetMode="External"/><Relationship Id="rId35" Type="http://schemas.openxmlformats.org/officeDocument/2006/relationships/hyperlink" Target="consultantplus://offline/ref=AD7DF53D5C6E25A4FEEC13C160D9243A5664DF3F954E464D93C1A0163Av4N" TargetMode="External"/><Relationship Id="rId43" Type="http://schemas.openxmlformats.org/officeDocument/2006/relationships/hyperlink" Target="consultantplus://offline/ref=AD7DF53D5C6E25A4FEEC13C160D9243A5F62DD3E9A134C45CACDA231v1N" TargetMode="External"/><Relationship Id="rId48" Type="http://schemas.openxmlformats.org/officeDocument/2006/relationships/hyperlink" Target="consultantplus://offline/ref=AD7DF53D5C6E25A4FEEC13C160D9243A5263DF329A134C45CACDA231v1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D7DF53D5C6E25A4FEEC13C160D9243A5061DF339A134C45CACDA231v1N" TargetMode="External"/><Relationship Id="rId51" Type="http://schemas.openxmlformats.org/officeDocument/2006/relationships/hyperlink" Target="consultantplus://offline/ref=AD7DF53D5C6E25A4FEEC13C160D9243A5661DD36964E464D93C1A0163Av4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2016-05-05T13:47:00Z</dcterms:created>
  <dcterms:modified xsi:type="dcterms:W3CDTF">2016-05-05T13:48:00Z</dcterms:modified>
</cp:coreProperties>
</file>